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56"/>
        <w:gridCol w:w="5054"/>
        <w:gridCol w:w="15"/>
      </w:tblGrid>
      <w:tr w:rsidR="00C119A2" w:rsidRPr="007D7E0B" w14:paraId="4CE93C2A" w14:textId="77777777" w:rsidTr="00AD6D80">
        <w:tc>
          <w:tcPr>
            <w:tcW w:w="8525" w:type="dxa"/>
            <w:gridSpan w:val="3"/>
            <w:tcBorders>
              <w:bottom w:val="single" w:sz="18" w:space="0" w:color="auto"/>
            </w:tcBorders>
          </w:tcPr>
          <w:p w14:paraId="60EF2DAE" w14:textId="3D37DB5C" w:rsidR="00C119A2" w:rsidRPr="00A80DBC" w:rsidRDefault="000E2CE0" w:rsidP="00AD6D80">
            <w:pPr>
              <w:pStyle w:val="Infotext"/>
              <w:rPr>
                <w:rFonts w:ascii="Arial Black" w:hAnsi="Arial Black"/>
                <w:color w:val="0070C0"/>
                <w:sz w:val="48"/>
                <w:szCs w:val="48"/>
              </w:rPr>
            </w:pPr>
            <w:bookmarkStart w:id="0" w:name="_GoBack"/>
            <w:bookmarkEnd w:id="0"/>
            <w:r>
              <w:rPr>
                <w:rFonts w:ascii="Arial Black" w:hAnsi="Arial Black"/>
                <w:color w:val="999999"/>
                <w:sz w:val="36"/>
                <w:szCs w:val="36"/>
              </w:rPr>
              <w:t xml:space="preserve"> </w:t>
            </w:r>
          </w:p>
          <w:p w14:paraId="52B84E37" w14:textId="5B997B01" w:rsidR="00C119A2" w:rsidRDefault="00BB4471"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125CBB9" wp14:editId="7CD6E844">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039D844D" w14:textId="77777777" w:rsidR="00C119A2" w:rsidRDefault="00C119A2" w:rsidP="00AD6D80">
            <w:pPr>
              <w:pStyle w:val="Infotext"/>
              <w:rPr>
                <w:rFonts w:ascii="Arial Black" w:hAnsi="Arial Black" w:cs="Arial"/>
                <w:sz w:val="36"/>
                <w:szCs w:val="36"/>
              </w:rPr>
            </w:pPr>
          </w:p>
        </w:tc>
      </w:tr>
      <w:tr w:rsidR="00333FAA" w14:paraId="11D89019" w14:textId="77777777">
        <w:trPr>
          <w:gridAfter w:val="1"/>
          <w:wAfter w:w="15" w:type="dxa"/>
        </w:trPr>
        <w:tc>
          <w:tcPr>
            <w:tcW w:w="3456" w:type="dxa"/>
            <w:tcBorders>
              <w:bottom w:val="single" w:sz="18" w:space="0" w:color="auto"/>
            </w:tcBorders>
          </w:tcPr>
          <w:p w14:paraId="2AB5E7F5"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1F906D89" w14:textId="77777777" w:rsidR="00333FAA" w:rsidRPr="00B805DB" w:rsidRDefault="00333FAA" w:rsidP="00A53B04">
            <w:pPr>
              <w:pStyle w:val="Infotext"/>
              <w:rPr>
                <w:rFonts w:ascii="Arial Black" w:hAnsi="Arial Black" w:cs="Arial"/>
                <w:sz w:val="36"/>
                <w:szCs w:val="36"/>
              </w:rPr>
            </w:pPr>
          </w:p>
        </w:tc>
        <w:tc>
          <w:tcPr>
            <w:tcW w:w="5054" w:type="dxa"/>
            <w:tcBorders>
              <w:bottom w:val="single" w:sz="18" w:space="0" w:color="auto"/>
            </w:tcBorders>
          </w:tcPr>
          <w:p w14:paraId="02C6D7D9" w14:textId="0B7DCF51"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r w:rsidR="00E3420A">
              <w:rPr>
                <w:rFonts w:ascii="Arial Black" w:hAnsi="Arial Black" w:cs="Arial"/>
                <w:sz w:val="36"/>
                <w:szCs w:val="36"/>
              </w:rPr>
              <w:t xml:space="preserve"> </w:t>
            </w:r>
          </w:p>
          <w:p w14:paraId="2153405A" w14:textId="77777777" w:rsidR="00333FAA" w:rsidRPr="005E3A10" w:rsidRDefault="00333FAA" w:rsidP="00A53B04">
            <w:pPr>
              <w:rPr>
                <w:rFonts w:ascii="Arial Black" w:hAnsi="Arial Black" w:cs="Arial"/>
                <w:szCs w:val="24"/>
              </w:rPr>
            </w:pPr>
          </w:p>
        </w:tc>
      </w:tr>
      <w:tr w:rsidR="00333FAA" w14:paraId="7ED4280F" w14:textId="77777777">
        <w:trPr>
          <w:gridAfter w:val="1"/>
          <w:wAfter w:w="15" w:type="dxa"/>
        </w:trPr>
        <w:tc>
          <w:tcPr>
            <w:tcW w:w="3456" w:type="dxa"/>
            <w:tcBorders>
              <w:top w:val="single" w:sz="18" w:space="0" w:color="auto"/>
            </w:tcBorders>
          </w:tcPr>
          <w:p w14:paraId="3C1CB991"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3507C924"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06BC3F47" w14:textId="6718FBB5" w:rsidR="00333FAA" w:rsidRPr="005E3A10" w:rsidRDefault="00785629" w:rsidP="00A53B04">
            <w:pPr>
              <w:rPr>
                <w:rFonts w:cs="Arial"/>
                <w:szCs w:val="24"/>
              </w:rPr>
            </w:pPr>
            <w:r>
              <w:rPr>
                <w:rFonts w:cs="Arial"/>
                <w:szCs w:val="24"/>
              </w:rPr>
              <w:t>12 September 2019</w:t>
            </w:r>
          </w:p>
        </w:tc>
      </w:tr>
      <w:tr w:rsidR="00333FAA" w14:paraId="15C39F42" w14:textId="77777777">
        <w:trPr>
          <w:gridAfter w:val="1"/>
          <w:wAfter w:w="15" w:type="dxa"/>
        </w:trPr>
        <w:tc>
          <w:tcPr>
            <w:tcW w:w="3456" w:type="dxa"/>
          </w:tcPr>
          <w:p w14:paraId="2C11BA2A"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3F1FBAB2" w14:textId="77777777" w:rsidR="00333FAA" w:rsidRPr="00C13A5F" w:rsidRDefault="00333FAA" w:rsidP="00A53B04">
            <w:pPr>
              <w:pStyle w:val="Infotext"/>
              <w:rPr>
                <w:rFonts w:ascii="Arial Black" w:hAnsi="Arial Black"/>
              </w:rPr>
            </w:pPr>
          </w:p>
        </w:tc>
        <w:tc>
          <w:tcPr>
            <w:tcW w:w="5054" w:type="dxa"/>
          </w:tcPr>
          <w:p w14:paraId="3F4A058C" w14:textId="3BD8A5AB" w:rsidR="00333FAA" w:rsidRPr="005E3A10" w:rsidRDefault="00785629" w:rsidP="00A53B04">
            <w:pPr>
              <w:rPr>
                <w:rFonts w:cs="Arial"/>
                <w:szCs w:val="24"/>
              </w:rPr>
            </w:pPr>
            <w:r w:rsidRPr="00785629">
              <w:rPr>
                <w:rFonts w:cs="Arial"/>
                <w:szCs w:val="24"/>
              </w:rPr>
              <w:t>Strategic Performance Report – Quarter</w:t>
            </w:r>
            <w:r>
              <w:rPr>
                <w:rFonts w:cs="Arial"/>
                <w:szCs w:val="24"/>
              </w:rPr>
              <w:t xml:space="preserve"> 1, 2019/20</w:t>
            </w:r>
          </w:p>
        </w:tc>
      </w:tr>
      <w:tr w:rsidR="00333FAA" w14:paraId="4E371F96" w14:textId="77777777">
        <w:trPr>
          <w:gridAfter w:val="1"/>
          <w:wAfter w:w="15" w:type="dxa"/>
        </w:trPr>
        <w:tc>
          <w:tcPr>
            <w:tcW w:w="3456" w:type="dxa"/>
          </w:tcPr>
          <w:p w14:paraId="0CC160D3"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71AC3AD1" w14:textId="77777777" w:rsidR="00333FAA" w:rsidRPr="00C13A5F" w:rsidRDefault="00333FAA" w:rsidP="00A53B04">
            <w:pPr>
              <w:pStyle w:val="Infotext"/>
              <w:rPr>
                <w:rFonts w:ascii="Arial Black" w:hAnsi="Arial Black" w:cs="Arial"/>
              </w:rPr>
            </w:pPr>
          </w:p>
        </w:tc>
        <w:tc>
          <w:tcPr>
            <w:tcW w:w="5054" w:type="dxa"/>
          </w:tcPr>
          <w:p w14:paraId="3EA15498" w14:textId="37F53213" w:rsidR="00333FAA" w:rsidRPr="005E3A10" w:rsidRDefault="00785629" w:rsidP="00785629">
            <w:pPr>
              <w:pStyle w:val="Infotext"/>
              <w:rPr>
                <w:rFonts w:cs="Arial"/>
                <w:szCs w:val="24"/>
              </w:rPr>
            </w:pPr>
            <w:r>
              <w:rPr>
                <w:rFonts w:cs="Arial"/>
                <w:sz w:val="24"/>
                <w:szCs w:val="24"/>
              </w:rPr>
              <w:t xml:space="preserve">No </w:t>
            </w:r>
          </w:p>
        </w:tc>
      </w:tr>
      <w:tr w:rsidR="001C7E35" w14:paraId="1FAC1398" w14:textId="77777777">
        <w:trPr>
          <w:gridAfter w:val="1"/>
          <w:wAfter w:w="15" w:type="dxa"/>
        </w:trPr>
        <w:tc>
          <w:tcPr>
            <w:tcW w:w="3456" w:type="dxa"/>
          </w:tcPr>
          <w:p w14:paraId="33C3AB90"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749986A1" w14:textId="77777777" w:rsidR="001C7E35" w:rsidRPr="00C13A5F" w:rsidRDefault="001C7E35" w:rsidP="00A53B04">
            <w:pPr>
              <w:pStyle w:val="Infotext"/>
              <w:rPr>
                <w:rFonts w:ascii="Arial Black" w:hAnsi="Arial Black" w:cs="Arial"/>
              </w:rPr>
            </w:pPr>
          </w:p>
        </w:tc>
        <w:tc>
          <w:tcPr>
            <w:tcW w:w="5054" w:type="dxa"/>
          </w:tcPr>
          <w:p w14:paraId="40CECE17" w14:textId="02FDACCD" w:rsidR="001C7E35" w:rsidRPr="005E3A10" w:rsidRDefault="00785629" w:rsidP="00D835CF">
            <w:pPr>
              <w:pStyle w:val="Infotext"/>
              <w:rPr>
                <w:rFonts w:cs="Arial"/>
                <w:sz w:val="24"/>
                <w:szCs w:val="24"/>
              </w:rPr>
            </w:pPr>
            <w:r>
              <w:rPr>
                <w:rFonts w:cs="Arial"/>
                <w:sz w:val="24"/>
                <w:szCs w:val="24"/>
              </w:rPr>
              <w:t>Sean Harriss, Chief Executive</w:t>
            </w:r>
          </w:p>
          <w:p w14:paraId="58C52F15" w14:textId="77777777" w:rsidR="001C7E35" w:rsidRPr="005E3A10" w:rsidRDefault="001C7E35" w:rsidP="00D835CF">
            <w:pPr>
              <w:pStyle w:val="Infotext"/>
              <w:rPr>
                <w:rFonts w:cs="Arial"/>
                <w:sz w:val="24"/>
                <w:szCs w:val="24"/>
              </w:rPr>
            </w:pPr>
          </w:p>
        </w:tc>
      </w:tr>
      <w:tr w:rsidR="001C7E35" w14:paraId="50C719B2" w14:textId="77777777">
        <w:trPr>
          <w:gridAfter w:val="1"/>
          <w:wAfter w:w="15" w:type="dxa"/>
        </w:trPr>
        <w:tc>
          <w:tcPr>
            <w:tcW w:w="3456" w:type="dxa"/>
          </w:tcPr>
          <w:p w14:paraId="27787554"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5339D974" w14:textId="77777777" w:rsidR="001C7E35" w:rsidRPr="00C13A5F" w:rsidRDefault="001C7E35" w:rsidP="00A53B04">
            <w:pPr>
              <w:pStyle w:val="BodyText"/>
              <w:rPr>
                <w:rFonts w:ascii="Arial Black" w:hAnsi="Arial Black"/>
              </w:rPr>
            </w:pPr>
          </w:p>
        </w:tc>
        <w:tc>
          <w:tcPr>
            <w:tcW w:w="5054" w:type="dxa"/>
          </w:tcPr>
          <w:p w14:paraId="65AA4933" w14:textId="5F816329" w:rsidR="001C7E35" w:rsidRPr="00785629" w:rsidRDefault="00785629" w:rsidP="00785629">
            <w:pPr>
              <w:pStyle w:val="Infotext"/>
              <w:rPr>
                <w:rFonts w:cs="Arial"/>
                <w:sz w:val="24"/>
                <w:szCs w:val="24"/>
              </w:rPr>
            </w:pPr>
            <w:r w:rsidRPr="00785629">
              <w:rPr>
                <w:rFonts w:cs="Arial"/>
                <w:sz w:val="24"/>
                <w:szCs w:val="24"/>
              </w:rPr>
              <w:t xml:space="preserve">Councillor Adam Swersky, Portfolio Holder for Finance and Resources </w:t>
            </w:r>
          </w:p>
        </w:tc>
      </w:tr>
      <w:tr w:rsidR="001C7E35" w14:paraId="7A28B039" w14:textId="77777777">
        <w:trPr>
          <w:gridAfter w:val="1"/>
          <w:wAfter w:w="15" w:type="dxa"/>
        </w:trPr>
        <w:tc>
          <w:tcPr>
            <w:tcW w:w="3456" w:type="dxa"/>
          </w:tcPr>
          <w:p w14:paraId="01319849" w14:textId="77777777" w:rsidR="001C7E35" w:rsidRPr="00DB6C3D" w:rsidRDefault="001C7E35" w:rsidP="00DB6C3D">
            <w:pPr>
              <w:pStyle w:val="Infotext"/>
              <w:rPr>
                <w:rFonts w:ascii="Arial Black" w:hAnsi="Arial Black"/>
              </w:rPr>
            </w:pPr>
            <w:r w:rsidRPr="00DB6C3D">
              <w:rPr>
                <w:rFonts w:ascii="Arial Black" w:hAnsi="Arial Black"/>
              </w:rPr>
              <w:t>Exempt:</w:t>
            </w:r>
          </w:p>
          <w:p w14:paraId="66ABDB18" w14:textId="77777777" w:rsidR="001C7E35" w:rsidRPr="00C13A5F" w:rsidRDefault="001C7E35" w:rsidP="00A53B04">
            <w:pPr>
              <w:pStyle w:val="BodyText"/>
              <w:rPr>
                <w:rFonts w:ascii="Arial Black" w:hAnsi="Arial Black"/>
              </w:rPr>
            </w:pPr>
          </w:p>
        </w:tc>
        <w:tc>
          <w:tcPr>
            <w:tcW w:w="5054" w:type="dxa"/>
          </w:tcPr>
          <w:p w14:paraId="1811B3BA" w14:textId="01537232" w:rsidR="001C7E35" w:rsidRPr="00785629" w:rsidRDefault="00785629" w:rsidP="00785629">
            <w:pPr>
              <w:pStyle w:val="Infotext"/>
              <w:rPr>
                <w:rFonts w:cs="Arial"/>
                <w:sz w:val="24"/>
                <w:szCs w:val="24"/>
              </w:rPr>
            </w:pPr>
            <w:r>
              <w:rPr>
                <w:rFonts w:cs="Arial"/>
                <w:sz w:val="24"/>
                <w:szCs w:val="24"/>
              </w:rPr>
              <w:t>No</w:t>
            </w:r>
          </w:p>
        </w:tc>
      </w:tr>
      <w:tr w:rsidR="001C7E35" w14:paraId="7F2E0122" w14:textId="77777777">
        <w:trPr>
          <w:gridAfter w:val="1"/>
          <w:wAfter w:w="15" w:type="dxa"/>
        </w:trPr>
        <w:tc>
          <w:tcPr>
            <w:tcW w:w="3456" w:type="dxa"/>
          </w:tcPr>
          <w:p w14:paraId="05FD69C1"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65CECBEE" w14:textId="77777777" w:rsidR="001C7E35" w:rsidRPr="00C13A5F" w:rsidRDefault="001C7E35" w:rsidP="00A53B04">
            <w:pPr>
              <w:pStyle w:val="BodyText"/>
              <w:rPr>
                <w:rFonts w:ascii="Arial Black" w:hAnsi="Arial Black"/>
              </w:rPr>
            </w:pPr>
          </w:p>
        </w:tc>
        <w:tc>
          <w:tcPr>
            <w:tcW w:w="5054" w:type="dxa"/>
          </w:tcPr>
          <w:p w14:paraId="3C78BE6C" w14:textId="6C43C2FF" w:rsidR="00714BEE" w:rsidRPr="00785629" w:rsidRDefault="001C7E35" w:rsidP="00785629">
            <w:pPr>
              <w:pStyle w:val="Infotext"/>
              <w:rPr>
                <w:rFonts w:cs="Arial"/>
                <w:sz w:val="24"/>
                <w:szCs w:val="24"/>
              </w:rPr>
            </w:pPr>
            <w:r w:rsidRPr="005E3A10">
              <w:rPr>
                <w:rFonts w:cs="Arial"/>
                <w:sz w:val="24"/>
                <w:szCs w:val="24"/>
              </w:rPr>
              <w:t xml:space="preserve">Yes </w:t>
            </w:r>
          </w:p>
        </w:tc>
      </w:tr>
      <w:tr w:rsidR="001C7E35" w14:paraId="65AF40FF" w14:textId="77777777">
        <w:trPr>
          <w:gridAfter w:val="1"/>
          <w:wAfter w:w="15" w:type="dxa"/>
        </w:trPr>
        <w:tc>
          <w:tcPr>
            <w:tcW w:w="3456" w:type="dxa"/>
          </w:tcPr>
          <w:p w14:paraId="22EE75A2" w14:textId="77777777" w:rsidR="001C7E35" w:rsidRDefault="001C7E35" w:rsidP="00A53B04">
            <w:pPr>
              <w:pStyle w:val="Infotext"/>
              <w:rPr>
                <w:rFonts w:ascii="Arial Black" w:hAnsi="Arial Black" w:cs="Arial"/>
              </w:rPr>
            </w:pPr>
            <w:r>
              <w:rPr>
                <w:rFonts w:ascii="Arial Black" w:hAnsi="Arial Black" w:cs="Arial"/>
              </w:rPr>
              <w:t>Wards affected:</w:t>
            </w:r>
          </w:p>
          <w:p w14:paraId="31237A21" w14:textId="77777777" w:rsidR="001C7E35" w:rsidRPr="00C13A5F" w:rsidRDefault="001C7E35" w:rsidP="00A53B04">
            <w:pPr>
              <w:pStyle w:val="Infotext"/>
              <w:rPr>
                <w:rFonts w:ascii="Arial Black" w:hAnsi="Arial Black" w:cs="Arial"/>
              </w:rPr>
            </w:pPr>
          </w:p>
        </w:tc>
        <w:tc>
          <w:tcPr>
            <w:tcW w:w="5054" w:type="dxa"/>
          </w:tcPr>
          <w:p w14:paraId="6002C793" w14:textId="3D52FD18" w:rsidR="00307F76" w:rsidRPr="00785629" w:rsidRDefault="00785629" w:rsidP="00785629">
            <w:pPr>
              <w:rPr>
                <w:rFonts w:cs="Arial"/>
                <w:b/>
                <w:szCs w:val="24"/>
              </w:rPr>
            </w:pPr>
            <w:r>
              <w:rPr>
                <w:rFonts w:cs="Arial"/>
                <w:szCs w:val="24"/>
              </w:rPr>
              <w:t>All Wards</w:t>
            </w:r>
          </w:p>
        </w:tc>
      </w:tr>
      <w:tr w:rsidR="001C7E35" w14:paraId="4BCFD77D" w14:textId="77777777">
        <w:trPr>
          <w:gridAfter w:val="1"/>
          <w:wAfter w:w="15" w:type="dxa"/>
        </w:trPr>
        <w:tc>
          <w:tcPr>
            <w:tcW w:w="3456" w:type="dxa"/>
          </w:tcPr>
          <w:p w14:paraId="0F5D5460" w14:textId="77777777" w:rsidR="001C7E35" w:rsidRPr="00C13A5F" w:rsidRDefault="001C7E35" w:rsidP="00A53B04">
            <w:pPr>
              <w:pStyle w:val="Infotext"/>
              <w:rPr>
                <w:rFonts w:ascii="Arial Black" w:hAnsi="Arial Black" w:cs="Arial"/>
              </w:rPr>
            </w:pPr>
            <w:r w:rsidRPr="00C13A5F">
              <w:rPr>
                <w:rFonts w:ascii="Arial Black" w:hAnsi="Arial Black" w:cs="Arial"/>
              </w:rPr>
              <w:t>Enclosures:</w:t>
            </w:r>
          </w:p>
          <w:p w14:paraId="0A7AA345" w14:textId="77777777" w:rsidR="001C7E35" w:rsidRPr="00C13A5F" w:rsidRDefault="001C7E35" w:rsidP="00A53B04">
            <w:pPr>
              <w:pStyle w:val="Infotext"/>
              <w:rPr>
                <w:rFonts w:ascii="Arial Black" w:hAnsi="Arial Black" w:cs="Arial"/>
              </w:rPr>
            </w:pPr>
          </w:p>
        </w:tc>
        <w:tc>
          <w:tcPr>
            <w:tcW w:w="5054" w:type="dxa"/>
          </w:tcPr>
          <w:p w14:paraId="5500C1A2" w14:textId="32E9919E" w:rsidR="00785629" w:rsidRDefault="00785629" w:rsidP="001C7E35">
            <w:pPr>
              <w:pStyle w:val="Infotext"/>
              <w:rPr>
                <w:rFonts w:cs="Arial"/>
                <w:sz w:val="24"/>
                <w:szCs w:val="24"/>
              </w:rPr>
            </w:pPr>
            <w:r>
              <w:rPr>
                <w:rFonts w:cs="Arial"/>
                <w:sz w:val="24"/>
                <w:szCs w:val="24"/>
              </w:rPr>
              <w:t>Appendix 1 – Harrow Ambition Plan – wording adjustments</w:t>
            </w:r>
          </w:p>
          <w:p w14:paraId="41ED6887" w14:textId="15402547" w:rsidR="001C7E35" w:rsidRPr="00785629" w:rsidRDefault="00785629" w:rsidP="00DB6C3D">
            <w:pPr>
              <w:pStyle w:val="Infotext"/>
              <w:rPr>
                <w:sz w:val="24"/>
                <w:szCs w:val="24"/>
              </w:rPr>
            </w:pPr>
            <w:r>
              <w:rPr>
                <w:rFonts w:cs="Arial"/>
                <w:sz w:val="24"/>
                <w:szCs w:val="24"/>
              </w:rPr>
              <w:t xml:space="preserve">Appendix 2 – Strategic Performance Report </w:t>
            </w:r>
          </w:p>
        </w:tc>
      </w:tr>
    </w:tbl>
    <w:p w14:paraId="7F8AA515" w14:textId="77777777" w:rsidR="00333FAA" w:rsidRDefault="00333FAA" w:rsidP="00333FAA">
      <w:pPr>
        <w:rPr>
          <w:rFonts w:cs="Arial"/>
        </w:rPr>
      </w:pPr>
    </w:p>
    <w:p w14:paraId="04EC0C32" w14:textId="77777777" w:rsidR="004076C8" w:rsidRDefault="004076C8" w:rsidP="00333FAA">
      <w:pPr>
        <w:rPr>
          <w:rFonts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333FAA" w14:paraId="482102DC" w14:textId="77777777" w:rsidTr="00A336B9">
        <w:tc>
          <w:tcPr>
            <w:tcW w:w="8613" w:type="dxa"/>
            <w:tcBorders>
              <w:top w:val="nil"/>
              <w:left w:val="nil"/>
              <w:right w:val="nil"/>
            </w:tcBorders>
          </w:tcPr>
          <w:p w14:paraId="6E9C8D7D" w14:textId="77777777" w:rsidR="00333FAA" w:rsidRDefault="00333FAA" w:rsidP="00A53B04">
            <w:pPr>
              <w:pStyle w:val="Heading1"/>
            </w:pPr>
            <w:r>
              <w:t>Section 1 – Summary and Recommendations</w:t>
            </w:r>
          </w:p>
          <w:p w14:paraId="06ECDE83" w14:textId="77777777" w:rsidR="00333FAA" w:rsidRDefault="00333FAA" w:rsidP="00A53B04"/>
        </w:tc>
      </w:tr>
      <w:tr w:rsidR="00333FAA" w14:paraId="2B36AA84" w14:textId="77777777" w:rsidTr="00A336B9">
        <w:tc>
          <w:tcPr>
            <w:tcW w:w="8613" w:type="dxa"/>
          </w:tcPr>
          <w:p w14:paraId="35777F66" w14:textId="606293AA" w:rsidR="00333FAA" w:rsidRDefault="00333FAA" w:rsidP="00A53B04"/>
          <w:p w14:paraId="14FB0006" w14:textId="0DE211A6" w:rsidR="001C7E35" w:rsidRPr="00785629" w:rsidRDefault="00785629" w:rsidP="001C7E35">
            <w:pPr>
              <w:pStyle w:val="Heading2"/>
              <w:rPr>
                <w:rFonts w:cs="Times New Roman"/>
                <w:b w:val="0"/>
                <w:bCs w:val="0"/>
                <w:sz w:val="24"/>
                <w:szCs w:val="20"/>
              </w:rPr>
            </w:pPr>
            <w:r w:rsidRPr="00785629">
              <w:rPr>
                <w:rFonts w:cs="Times New Roman"/>
                <w:b w:val="0"/>
                <w:bCs w:val="0"/>
                <w:sz w:val="24"/>
                <w:szCs w:val="20"/>
              </w:rPr>
              <w:t xml:space="preserve">This report </w:t>
            </w:r>
            <w:r>
              <w:rPr>
                <w:rFonts w:cs="Times New Roman"/>
                <w:b w:val="0"/>
                <w:bCs w:val="0"/>
                <w:sz w:val="24"/>
                <w:szCs w:val="20"/>
              </w:rPr>
              <w:t xml:space="preserve">sets out changes in corporate performance reporting; recommended adjustments </w:t>
            </w:r>
            <w:r w:rsidR="00D04F65">
              <w:rPr>
                <w:rFonts w:cs="Times New Roman"/>
                <w:b w:val="0"/>
                <w:bCs w:val="0"/>
                <w:sz w:val="24"/>
                <w:szCs w:val="20"/>
              </w:rPr>
              <w:t xml:space="preserve">in reporting against </w:t>
            </w:r>
            <w:r>
              <w:rPr>
                <w:rFonts w:cs="Times New Roman"/>
                <w:b w:val="0"/>
                <w:bCs w:val="0"/>
                <w:sz w:val="24"/>
                <w:szCs w:val="20"/>
              </w:rPr>
              <w:t>the Harrow Ambition Plan</w:t>
            </w:r>
            <w:r w:rsidR="00556A59">
              <w:rPr>
                <w:rFonts w:cs="Times New Roman"/>
                <w:b w:val="0"/>
                <w:bCs w:val="0"/>
                <w:sz w:val="24"/>
                <w:szCs w:val="20"/>
              </w:rPr>
              <w:t>;</w:t>
            </w:r>
            <w:r>
              <w:rPr>
                <w:rFonts w:cs="Times New Roman"/>
                <w:b w:val="0"/>
                <w:bCs w:val="0"/>
                <w:sz w:val="24"/>
                <w:szCs w:val="20"/>
              </w:rPr>
              <w:t xml:space="preserve"> and key </w:t>
            </w:r>
            <w:r w:rsidRPr="00785629">
              <w:rPr>
                <w:rFonts w:cs="Times New Roman"/>
                <w:b w:val="0"/>
                <w:bCs w:val="0"/>
                <w:sz w:val="24"/>
                <w:szCs w:val="20"/>
              </w:rPr>
              <w:t xml:space="preserve">Council and service performance for Quarter </w:t>
            </w:r>
            <w:r>
              <w:rPr>
                <w:rFonts w:cs="Times New Roman"/>
                <w:b w:val="0"/>
                <w:bCs w:val="0"/>
                <w:sz w:val="24"/>
                <w:szCs w:val="20"/>
              </w:rPr>
              <w:t>1.</w:t>
            </w:r>
          </w:p>
          <w:p w14:paraId="1346875F" w14:textId="77777777" w:rsidR="00785629" w:rsidRPr="00785629" w:rsidRDefault="00785629" w:rsidP="00785629"/>
          <w:p w14:paraId="7C3C9CF3" w14:textId="77777777" w:rsidR="001C7E35" w:rsidRDefault="001C7E35" w:rsidP="001C7E35">
            <w:pPr>
              <w:pStyle w:val="Heading2"/>
            </w:pPr>
            <w:r>
              <w:t xml:space="preserve">Recommendations: </w:t>
            </w:r>
          </w:p>
          <w:p w14:paraId="3C5E0E03" w14:textId="77777777" w:rsidR="001C7E35" w:rsidRDefault="001C7E35" w:rsidP="00A336B9">
            <w:pPr>
              <w:numPr>
                <w:ilvl w:val="0"/>
                <w:numId w:val="48"/>
              </w:numPr>
            </w:pPr>
            <w:r>
              <w:t>Cabinet is requested to:</w:t>
            </w:r>
          </w:p>
          <w:p w14:paraId="16CB3290" w14:textId="07235565" w:rsidR="00556A59" w:rsidRDefault="00556A59" w:rsidP="00556A59">
            <w:pPr>
              <w:numPr>
                <w:ilvl w:val="0"/>
                <w:numId w:val="46"/>
              </w:numPr>
            </w:pPr>
            <w:r>
              <w:t>Note the changes in corporate performance reporting processes;</w:t>
            </w:r>
          </w:p>
          <w:p w14:paraId="4745D719" w14:textId="68EA18E9" w:rsidR="00E3420A" w:rsidRDefault="00556A59" w:rsidP="00556A59">
            <w:pPr>
              <w:numPr>
                <w:ilvl w:val="0"/>
                <w:numId w:val="46"/>
              </w:numPr>
            </w:pPr>
            <w:r>
              <w:t>Note and agree the suggested adjustments in wording for the purpose of reporting against the Harrow Ambition Plan</w:t>
            </w:r>
            <w:r w:rsidR="00801BDD">
              <w:t xml:space="preserve">, for </w:t>
            </w:r>
            <w:r w:rsidR="001E0909">
              <w:lastRenderedPageBreak/>
              <w:t>consideration by</w:t>
            </w:r>
            <w:r w:rsidR="00801BDD">
              <w:t xml:space="preserve"> full Council</w:t>
            </w:r>
            <w:r>
              <w:t xml:space="preserve"> (Appendix 1);</w:t>
            </w:r>
          </w:p>
          <w:p w14:paraId="626EA720" w14:textId="3DB6B2E6" w:rsidR="00556A59" w:rsidRDefault="00E3420A" w:rsidP="00556A59">
            <w:pPr>
              <w:numPr>
                <w:ilvl w:val="0"/>
                <w:numId w:val="46"/>
              </w:numPr>
            </w:pPr>
            <w:r>
              <w:t>Approve Corporate Scorecard measures, and Portfolio Holders</w:t>
            </w:r>
            <w:r w:rsidR="00556A59">
              <w:t xml:space="preserve"> </w:t>
            </w:r>
            <w:r>
              <w:t xml:space="preserve">to continue working with officers to achieve improvement against identified key challenges (Appendix 2).  </w:t>
            </w:r>
          </w:p>
          <w:p w14:paraId="6C11156B" w14:textId="77777777" w:rsidR="00591016" w:rsidRDefault="00591016" w:rsidP="001C7E35"/>
          <w:p w14:paraId="718FBE5C" w14:textId="77777777" w:rsidR="00556A59" w:rsidRDefault="001C7E35" w:rsidP="0054590F">
            <w:pPr>
              <w:pStyle w:val="Heading2"/>
            </w:pPr>
            <w:r>
              <w:t>Reason:  (For recommendation</w:t>
            </w:r>
            <w:r w:rsidR="00714BEE">
              <w:t>s</w:t>
            </w:r>
            <w:r>
              <w:t>)</w:t>
            </w:r>
            <w:r w:rsidR="00F91AE4">
              <w:t xml:space="preserve"> </w:t>
            </w:r>
          </w:p>
          <w:p w14:paraId="7462D223" w14:textId="1DD8712D" w:rsidR="00556A59" w:rsidRDefault="00556A59" w:rsidP="00556A59">
            <w:pPr>
              <w:pStyle w:val="Heading2"/>
              <w:numPr>
                <w:ilvl w:val="0"/>
                <w:numId w:val="47"/>
              </w:numPr>
              <w:rPr>
                <w:b w:val="0"/>
                <w:sz w:val="24"/>
                <w:szCs w:val="24"/>
              </w:rPr>
            </w:pPr>
            <w:r w:rsidRPr="009C5F6F">
              <w:rPr>
                <w:b w:val="0"/>
                <w:sz w:val="24"/>
                <w:szCs w:val="24"/>
              </w:rPr>
              <w:t xml:space="preserve">To enable Cabinet to be informed of </w:t>
            </w:r>
            <w:r w:rsidR="009C5F6F">
              <w:rPr>
                <w:b w:val="0"/>
                <w:sz w:val="24"/>
                <w:szCs w:val="24"/>
              </w:rPr>
              <w:t>changes in how Members will be briefed on performance each quarter;</w:t>
            </w:r>
          </w:p>
          <w:p w14:paraId="137A92E8" w14:textId="0F8416D6" w:rsidR="009C5F6F" w:rsidRDefault="009C5F6F" w:rsidP="009C5F6F">
            <w:pPr>
              <w:numPr>
                <w:ilvl w:val="0"/>
                <w:numId w:val="47"/>
              </w:numPr>
            </w:pPr>
            <w:r>
              <w:t xml:space="preserve">To permit clearer reporting </w:t>
            </w:r>
            <w:r w:rsidR="00760264">
              <w:t xml:space="preserve">of progress </w:t>
            </w:r>
            <w:r>
              <w:t>against the Council’s priorities;</w:t>
            </w:r>
          </w:p>
          <w:p w14:paraId="3B8596C3" w14:textId="03353389" w:rsidR="009C5F6F" w:rsidRPr="009C5F6F" w:rsidRDefault="009C5F6F" w:rsidP="009C5F6F">
            <w:pPr>
              <w:numPr>
                <w:ilvl w:val="0"/>
                <w:numId w:val="47"/>
              </w:numPr>
            </w:pPr>
            <w:r w:rsidRPr="009C5F6F">
              <w:t>To enable Cabinet to be informed of performance against key measures and to identify and assign corrective action where necessary</w:t>
            </w:r>
            <w:r>
              <w:t>.</w:t>
            </w:r>
          </w:p>
          <w:p w14:paraId="252F860F" w14:textId="77777777" w:rsidR="00333FAA" w:rsidRDefault="00333FAA" w:rsidP="00A53B04">
            <w:pPr>
              <w:jc w:val="both"/>
              <w:rPr>
                <w:rFonts w:cs="Arial"/>
              </w:rPr>
            </w:pPr>
          </w:p>
        </w:tc>
      </w:tr>
    </w:tbl>
    <w:p w14:paraId="6B386537" w14:textId="77777777" w:rsidR="00333FAA" w:rsidRDefault="00333FAA" w:rsidP="00333FAA">
      <w:pPr>
        <w:pStyle w:val="Heading1"/>
        <w:rPr>
          <w:rFonts w:ascii="Arial" w:hAnsi="Arial"/>
          <w:sz w:val="24"/>
          <w:szCs w:val="24"/>
        </w:rPr>
      </w:pPr>
    </w:p>
    <w:p w14:paraId="6D8FD1F5" w14:textId="77777777" w:rsidR="0036201C" w:rsidRPr="0036201C" w:rsidRDefault="0036201C" w:rsidP="0036201C"/>
    <w:p w14:paraId="4176A242" w14:textId="77777777" w:rsidR="00333FAA" w:rsidRDefault="00333FAA" w:rsidP="00DC6AC5">
      <w:pPr>
        <w:pStyle w:val="Heading1"/>
        <w:keepNext/>
      </w:pPr>
      <w:r>
        <w:t>Section 2 – Report</w:t>
      </w:r>
    </w:p>
    <w:p w14:paraId="2C9DBA34" w14:textId="77777777" w:rsidR="00333FAA" w:rsidRDefault="00333FAA" w:rsidP="00DC6AC5">
      <w:pPr>
        <w:pStyle w:val="Heading2"/>
        <w:keepNext/>
      </w:pPr>
    </w:p>
    <w:p w14:paraId="39FD1D41" w14:textId="77777777" w:rsidR="001C7E35" w:rsidRDefault="001C7E35" w:rsidP="00DC6AC5">
      <w:pPr>
        <w:pStyle w:val="Heading2"/>
        <w:keepNext/>
      </w:pPr>
      <w:r>
        <w:t>Introductory paragraph</w:t>
      </w:r>
    </w:p>
    <w:p w14:paraId="6EFF93B4" w14:textId="77777777" w:rsidR="008642B9" w:rsidRPr="008642B9" w:rsidRDefault="008642B9" w:rsidP="00DC6AC5">
      <w:pPr>
        <w:keepNext/>
      </w:pPr>
    </w:p>
    <w:p w14:paraId="59AD78C9" w14:textId="5DD254AE" w:rsidR="008642B9" w:rsidRDefault="008642B9" w:rsidP="008642B9">
      <w:r>
        <w:t xml:space="preserve">Cabinet sits in the role of Performance Board on a quarterly basis to receive the Strategic Performance Report. The report helps members to monitor progress against the Council’s vision and Corporate Priorities and identify corrective action where necessary. </w:t>
      </w:r>
    </w:p>
    <w:p w14:paraId="0F1EBDD4" w14:textId="77777777" w:rsidR="00D04F65" w:rsidRDefault="00D04F65" w:rsidP="008642B9"/>
    <w:p w14:paraId="29651E59" w14:textId="2CE737A1" w:rsidR="00D04F65" w:rsidRDefault="00D04F65" w:rsidP="008642B9">
      <w:r>
        <w:t>This quarter’s report includes also proposed changes in the way performance is reported each cycle.</w:t>
      </w:r>
    </w:p>
    <w:p w14:paraId="560CF1DF" w14:textId="77777777" w:rsidR="001C7E35" w:rsidRDefault="001C7E35" w:rsidP="001C7E35"/>
    <w:p w14:paraId="3DD7FE27" w14:textId="5AF8B63B" w:rsidR="009C5F6F" w:rsidRDefault="00A80DBC" w:rsidP="00DC6AC5">
      <w:pPr>
        <w:pStyle w:val="Heading2"/>
        <w:keepNext/>
      </w:pPr>
      <w:r>
        <w:t xml:space="preserve">Options </w:t>
      </w:r>
      <w:r w:rsidR="001C7E35">
        <w:t>considered</w:t>
      </w:r>
    </w:p>
    <w:p w14:paraId="187601AF" w14:textId="77777777" w:rsidR="009C5F6F" w:rsidRPr="009C5F6F" w:rsidRDefault="009C5F6F" w:rsidP="00DC6AC5">
      <w:pPr>
        <w:keepNext/>
      </w:pPr>
    </w:p>
    <w:p w14:paraId="3AF65DB7" w14:textId="77777777" w:rsidR="009C5F6F" w:rsidRDefault="009C5F6F" w:rsidP="009C5F6F">
      <w:r w:rsidRPr="00A52457">
        <w:t xml:space="preserve">Cabinet’s terms of reference in the </w:t>
      </w:r>
      <w:r>
        <w:t>C</w:t>
      </w:r>
      <w:r w:rsidRPr="00A52457">
        <w:t>onstitution include overseeing strategic</w:t>
      </w:r>
      <w:r>
        <w:t xml:space="preserve"> </w:t>
      </w:r>
      <w:r w:rsidRPr="00A52457">
        <w:t>performance issues on a quarterly basis and as such an option of not</w:t>
      </w:r>
      <w:r>
        <w:t xml:space="preserve"> </w:t>
      </w:r>
      <w:r w:rsidRPr="00A52457">
        <w:t>delivering this report has not been considered</w:t>
      </w:r>
      <w:r>
        <w:t>.</w:t>
      </w:r>
    </w:p>
    <w:p w14:paraId="022B6601" w14:textId="77777777" w:rsidR="009C5F6F" w:rsidRDefault="009C5F6F" w:rsidP="009C5F6F"/>
    <w:p w14:paraId="485530E8" w14:textId="6B65F553" w:rsidR="00333FAA" w:rsidRPr="003B0535" w:rsidRDefault="00DE7528" w:rsidP="00DC6AC5">
      <w:pPr>
        <w:keepNext/>
        <w:rPr>
          <w:b/>
        </w:rPr>
      </w:pPr>
      <w:r w:rsidRPr="003B0535">
        <w:rPr>
          <w:b/>
        </w:rPr>
        <w:t>Performance reporting process</w:t>
      </w:r>
    </w:p>
    <w:p w14:paraId="41816E48" w14:textId="77777777" w:rsidR="00DE7528" w:rsidRDefault="00DE7528" w:rsidP="00DC6AC5">
      <w:pPr>
        <w:keepNext/>
      </w:pPr>
    </w:p>
    <w:p w14:paraId="66436AD8" w14:textId="2FA320E0" w:rsidR="00512537" w:rsidRDefault="0039768A" w:rsidP="00333FAA">
      <w:r>
        <w:t xml:space="preserve">In order to provide a sharper focus on performance and drive improvement, </w:t>
      </w:r>
      <w:r w:rsidRPr="0039768A">
        <w:t>without compromising accountability and good governance</w:t>
      </w:r>
      <w:r>
        <w:t xml:space="preserve">, </w:t>
      </w:r>
      <w:r w:rsidR="003B0535">
        <w:t xml:space="preserve">and after consultations with key Members, a revised quarterly performance reporting cycle </w:t>
      </w:r>
      <w:r w:rsidR="001E0909">
        <w:t>is being</w:t>
      </w:r>
      <w:r w:rsidR="003B0535">
        <w:t xml:space="preserve"> developed and this has run in pilot mode for Quarter 1. </w:t>
      </w:r>
    </w:p>
    <w:p w14:paraId="45820F2A" w14:textId="77777777" w:rsidR="003B0535" w:rsidRDefault="003B0535" w:rsidP="00333FAA"/>
    <w:p w14:paraId="298CA9DB" w14:textId="2030EB26" w:rsidR="003B0535" w:rsidRDefault="003B0535" w:rsidP="00333FAA">
      <w:r>
        <w:t xml:space="preserve">In the new model, a quarterly </w:t>
      </w:r>
      <w:r w:rsidR="00E75091">
        <w:t xml:space="preserve">briefing </w:t>
      </w:r>
      <w:r>
        <w:t xml:space="preserve">meeting is </w:t>
      </w:r>
      <w:r w:rsidR="001E0909">
        <w:t xml:space="preserve">proposed to be </w:t>
      </w:r>
      <w:r>
        <w:t>held for each Directorate, attended by the Leader, Portfolio Holder for Finance and Resources, Chief Executive, Corporate Dire</w:t>
      </w:r>
      <w:r w:rsidR="00E75091">
        <w:t>ctor and Director of Strategy and f</w:t>
      </w:r>
      <w:r>
        <w:t>ocuss</w:t>
      </w:r>
      <w:r w:rsidR="00E75091">
        <w:t xml:space="preserve">ing </w:t>
      </w:r>
      <w:r>
        <w:t>on</w:t>
      </w:r>
      <w:r w:rsidR="00E75091">
        <w:t xml:space="preserve"> the</w:t>
      </w:r>
      <w:r>
        <w:t xml:space="preserve"> delivery of Harrow Ambition Plan </w:t>
      </w:r>
      <w:r w:rsidR="00E75091">
        <w:t>objectives and key performance indicators, together with matters highlighted by the Corporate Director. Service Portfolio Holders are separately briefed by the Corporate Director.</w:t>
      </w:r>
    </w:p>
    <w:p w14:paraId="4B9C30F0" w14:textId="77777777" w:rsidR="00E75091" w:rsidRDefault="00E75091" w:rsidP="00333FAA"/>
    <w:p w14:paraId="37DE9B58" w14:textId="64EDECDA" w:rsidR="00E75091" w:rsidRDefault="00E75091" w:rsidP="00333FAA">
      <w:r>
        <w:t xml:space="preserve">Following these meetings, an informal joint meeting of Corporate Strategic Board </w:t>
      </w:r>
      <w:r w:rsidR="00E13A81">
        <w:t xml:space="preserve">(CSB) </w:t>
      </w:r>
      <w:r>
        <w:t xml:space="preserve">and Cabinet Members </w:t>
      </w:r>
      <w:r w:rsidR="001E0909">
        <w:t xml:space="preserve">would </w:t>
      </w:r>
      <w:r>
        <w:t>precede the formal submission of the Strategic Performance Report to Cabinet.</w:t>
      </w:r>
    </w:p>
    <w:p w14:paraId="3C7B01D0" w14:textId="77777777" w:rsidR="0039768A" w:rsidRDefault="0039768A" w:rsidP="00333FAA"/>
    <w:p w14:paraId="4366DFD9" w14:textId="3A69DEF7" w:rsidR="00512537" w:rsidRDefault="00512537" w:rsidP="00333FAA">
      <w:r>
        <w:t xml:space="preserve">Other than minor consequential adjustments, no changes are </w:t>
      </w:r>
      <w:r w:rsidR="001E0909">
        <w:t>proposed for</w:t>
      </w:r>
      <w:r>
        <w:t xml:space="preserve"> the provision of performance information to Scrutiny members. </w:t>
      </w:r>
    </w:p>
    <w:p w14:paraId="3167B1D6" w14:textId="77777777" w:rsidR="00E75091" w:rsidRDefault="00E75091" w:rsidP="00333FAA"/>
    <w:p w14:paraId="3B4452F0" w14:textId="0F559592" w:rsidR="00E75091" w:rsidRPr="00E75091" w:rsidRDefault="00E75091" w:rsidP="00333FAA">
      <w:pPr>
        <w:rPr>
          <w:b/>
        </w:rPr>
      </w:pPr>
      <w:r w:rsidRPr="00E75091">
        <w:rPr>
          <w:b/>
        </w:rPr>
        <w:t>Reporting against the Harrow Ambition Plan</w:t>
      </w:r>
      <w:r w:rsidR="00B8259B">
        <w:rPr>
          <w:b/>
        </w:rPr>
        <w:t xml:space="preserve"> </w:t>
      </w:r>
    </w:p>
    <w:p w14:paraId="472E9DA6" w14:textId="77777777" w:rsidR="00E75091" w:rsidRDefault="00E75091" w:rsidP="00333FAA"/>
    <w:p w14:paraId="02B9EA8C" w14:textId="4F966D33" w:rsidR="00E75091" w:rsidRDefault="00760264" w:rsidP="00333FAA">
      <w:r>
        <w:t>To permit clearer and more focussed reporting</w:t>
      </w:r>
      <w:r w:rsidR="00E13A81">
        <w:t xml:space="preserve"> of performance, </w:t>
      </w:r>
      <w:r w:rsidR="00657B57">
        <w:t>it is proposed to expand on and clarify the wording of objectives within the Harrow Ambition Plan 2019 to be used when reporting to Members on progress.</w:t>
      </w:r>
      <w:r w:rsidR="001E0909">
        <w:t xml:space="preserve"> </w:t>
      </w:r>
      <w:r w:rsidR="00801BDD">
        <w:t xml:space="preserve">The plan has been approved by Council, so once Cabinet is content with the adjustments, the revised plan can be put before the November Council meeting for approval.  </w:t>
      </w:r>
      <w:r w:rsidR="00657B57">
        <w:t xml:space="preserve">A schedule </w:t>
      </w:r>
      <w:r w:rsidR="001E0909">
        <w:t xml:space="preserve">including proposed amendments </w:t>
      </w:r>
      <w:r w:rsidR="00657B57">
        <w:t xml:space="preserve">is at Appendix 1 for Members’ consideration. </w:t>
      </w:r>
      <w:r w:rsidR="00801BDD">
        <w:t>The additions are largely to reflect the latest situation in the areas of Regeneration and Economic Development.</w:t>
      </w:r>
    </w:p>
    <w:p w14:paraId="629E5756" w14:textId="77777777" w:rsidR="00657B57" w:rsidRDefault="00657B57" w:rsidP="00333FAA"/>
    <w:p w14:paraId="20086E29" w14:textId="77777777" w:rsidR="003E07E6" w:rsidRPr="003E07E6" w:rsidRDefault="003E07E6" w:rsidP="00DC6AC5">
      <w:pPr>
        <w:keepNext/>
        <w:rPr>
          <w:b/>
        </w:rPr>
      </w:pPr>
      <w:r w:rsidRPr="003E07E6">
        <w:rPr>
          <w:b/>
        </w:rPr>
        <w:t>Target setting for 2019/20</w:t>
      </w:r>
    </w:p>
    <w:p w14:paraId="7E76E9B7" w14:textId="77777777" w:rsidR="003E07E6" w:rsidRPr="003E07E6" w:rsidRDefault="003E07E6" w:rsidP="00DC6AC5">
      <w:pPr>
        <w:keepNext/>
        <w:rPr>
          <w:b/>
        </w:rPr>
      </w:pPr>
    </w:p>
    <w:p w14:paraId="179E3C0A" w14:textId="1FEC80E4" w:rsidR="003E07E6" w:rsidRDefault="001E0909" w:rsidP="003E07E6">
      <w:r>
        <w:t>T</w:t>
      </w:r>
      <w:r w:rsidR="003E07E6">
        <w:t xml:space="preserve">here are </w:t>
      </w:r>
      <w:r w:rsidR="003E07E6" w:rsidRPr="003E07E6">
        <w:t xml:space="preserve">some measures where targets have not been achieved in a number of years. </w:t>
      </w:r>
      <w:r>
        <w:t>A few targets need to be reviewed to ensure they reflect current priorities and capacity. Plans will also be developed in 2020/21 to bring performance up to the revised targets.</w:t>
      </w:r>
    </w:p>
    <w:p w14:paraId="30767741" w14:textId="77777777" w:rsidR="003E07E6" w:rsidRDefault="003E07E6" w:rsidP="003E07E6"/>
    <w:p w14:paraId="7DD2B68E" w14:textId="26BAF162" w:rsidR="003E07E6" w:rsidRPr="001E0909" w:rsidRDefault="003E07E6" w:rsidP="00333FAA">
      <w:r w:rsidRPr="003E07E6">
        <w:t xml:space="preserve">It is therefore recognised that </w:t>
      </w:r>
      <w:r w:rsidR="001E0909">
        <w:t>while the</w:t>
      </w:r>
      <w:r w:rsidRPr="003E07E6">
        <w:t xml:space="preserve"> targets for these measures in 2019/20 remain at the levels of previous years, performance reporting will more than likely show them as red throughout the remainder of this financial year. </w:t>
      </w:r>
    </w:p>
    <w:p w14:paraId="17B24F03" w14:textId="77777777" w:rsidR="003E07E6" w:rsidRPr="001E0909" w:rsidRDefault="003E07E6" w:rsidP="00333FAA"/>
    <w:p w14:paraId="6F896FAE" w14:textId="20018200" w:rsidR="00657B57" w:rsidRPr="00657B57" w:rsidRDefault="00657B57" w:rsidP="00DC6AC5">
      <w:pPr>
        <w:keepNext/>
        <w:rPr>
          <w:b/>
        </w:rPr>
      </w:pPr>
      <w:r w:rsidRPr="00657B57">
        <w:rPr>
          <w:b/>
        </w:rPr>
        <w:t>Performance report for Quarter 1</w:t>
      </w:r>
    </w:p>
    <w:p w14:paraId="068E6691" w14:textId="77777777" w:rsidR="00657B57" w:rsidRDefault="00657B57" w:rsidP="00DC6AC5">
      <w:pPr>
        <w:keepNext/>
      </w:pPr>
    </w:p>
    <w:p w14:paraId="74E4EBC0" w14:textId="468C00A2" w:rsidR="00657B57" w:rsidRDefault="00657B57" w:rsidP="00333FAA">
      <w:r>
        <w:t xml:space="preserve">In view of the changes described above, the Quarter 1 report at Appendix 2 excludes the usual narratives on progress </w:t>
      </w:r>
      <w:r w:rsidR="001E0909">
        <w:t>against actions and initiatives.</w:t>
      </w:r>
      <w:r>
        <w:t xml:space="preserve"> </w:t>
      </w:r>
      <w:r w:rsidR="001E0909">
        <w:t xml:space="preserve">This </w:t>
      </w:r>
      <w:r>
        <w:t xml:space="preserve">will be resumed </w:t>
      </w:r>
      <w:r w:rsidR="001E0909">
        <w:t>when Council have approved the proposed changes.</w:t>
      </w:r>
      <w:r>
        <w:t xml:space="preserve"> If Members are inclined to </w:t>
      </w:r>
      <w:r w:rsidR="00AD7181">
        <w:t>recommend the revised plan to Council</w:t>
      </w:r>
      <w:r w:rsidR="00B8259B">
        <w:t xml:space="preserve">, some consequential adjustments in performance measures may be appropriate, which will be reflected in the </w:t>
      </w:r>
      <w:r w:rsidR="00AD7181">
        <w:t>subsequent periods</w:t>
      </w:r>
      <w:r w:rsidR="00B8259B">
        <w:t>.</w:t>
      </w:r>
    </w:p>
    <w:p w14:paraId="46F682E7" w14:textId="77777777" w:rsidR="0054590F" w:rsidRDefault="0054590F" w:rsidP="0054590F"/>
    <w:p w14:paraId="04011ADA" w14:textId="77777777" w:rsidR="001E0909" w:rsidRDefault="001E0909" w:rsidP="0054590F"/>
    <w:p w14:paraId="7A08AD42" w14:textId="77777777" w:rsidR="00307F76" w:rsidRDefault="00307F76" w:rsidP="00DC6AC5">
      <w:pPr>
        <w:keepNext/>
        <w:rPr>
          <w:b/>
        </w:rPr>
      </w:pPr>
      <w:r w:rsidRPr="00307F76">
        <w:rPr>
          <w:b/>
        </w:rPr>
        <w:t xml:space="preserve">Ward Councillors’ comments </w:t>
      </w:r>
    </w:p>
    <w:p w14:paraId="39EBB8E9" w14:textId="77777777" w:rsidR="00955421" w:rsidRPr="00E75091" w:rsidRDefault="00955421" w:rsidP="00DC6AC5">
      <w:pPr>
        <w:keepNext/>
      </w:pPr>
    </w:p>
    <w:p w14:paraId="3973727B" w14:textId="1CFBADBB" w:rsidR="00E75091" w:rsidRDefault="00E75091" w:rsidP="00E75091">
      <w:pPr>
        <w:tabs>
          <w:tab w:val="left" w:pos="7245"/>
        </w:tabs>
      </w:pPr>
      <w:r w:rsidRPr="00E75091">
        <w:t>Not applicable.</w:t>
      </w:r>
    </w:p>
    <w:p w14:paraId="23EE5B51" w14:textId="77777777" w:rsidR="00E75091" w:rsidRDefault="00E75091" w:rsidP="00E75091">
      <w:pPr>
        <w:tabs>
          <w:tab w:val="left" w:pos="7245"/>
        </w:tabs>
      </w:pPr>
    </w:p>
    <w:p w14:paraId="396FC210" w14:textId="77777777" w:rsidR="001E0909" w:rsidRPr="00E75091" w:rsidRDefault="001E0909" w:rsidP="00E75091">
      <w:pPr>
        <w:tabs>
          <w:tab w:val="left" w:pos="7245"/>
        </w:tabs>
      </w:pPr>
    </w:p>
    <w:p w14:paraId="538CD1E2" w14:textId="77777777" w:rsidR="00D04F65" w:rsidRDefault="00D04F65" w:rsidP="00D04F65">
      <w:pPr>
        <w:pStyle w:val="Heading4"/>
        <w:tabs>
          <w:tab w:val="left" w:pos="3600"/>
        </w:tabs>
        <w:rPr>
          <w:szCs w:val="24"/>
        </w:rPr>
      </w:pPr>
      <w:r w:rsidRPr="002A6F7F">
        <w:rPr>
          <w:szCs w:val="24"/>
        </w:rPr>
        <w:t>Performance Issues</w:t>
      </w:r>
    </w:p>
    <w:p w14:paraId="7C163543" w14:textId="77777777" w:rsidR="00385167" w:rsidRPr="00385167" w:rsidRDefault="00385167" w:rsidP="00385167">
      <w:pPr>
        <w:keepNext/>
      </w:pPr>
    </w:p>
    <w:p w14:paraId="5C5C9C53" w14:textId="77777777" w:rsidR="00D04F65" w:rsidRPr="002A6F7F" w:rsidRDefault="00D04F65" w:rsidP="00D04F65">
      <w:pPr>
        <w:tabs>
          <w:tab w:val="left" w:pos="7245"/>
        </w:tabs>
        <w:rPr>
          <w:i/>
        </w:rPr>
      </w:pPr>
      <w:r w:rsidRPr="002A6F7F">
        <w:t>The report deals in detail with performance issues.</w:t>
      </w:r>
    </w:p>
    <w:p w14:paraId="67E5F218" w14:textId="77777777" w:rsidR="00D04F65" w:rsidRDefault="00D04F65" w:rsidP="00D04F65">
      <w:pPr>
        <w:tabs>
          <w:tab w:val="left" w:pos="7245"/>
        </w:tabs>
      </w:pPr>
    </w:p>
    <w:p w14:paraId="4006FAEC" w14:textId="77777777" w:rsidR="0054590F" w:rsidRDefault="0054590F" w:rsidP="001C7E35">
      <w:pPr>
        <w:tabs>
          <w:tab w:val="left" w:pos="7245"/>
        </w:tabs>
      </w:pPr>
    </w:p>
    <w:p w14:paraId="2F2275C0" w14:textId="77777777" w:rsidR="00D04F65" w:rsidRDefault="00D04F65" w:rsidP="00D04F65">
      <w:pPr>
        <w:pStyle w:val="Heading4"/>
        <w:rPr>
          <w:szCs w:val="24"/>
        </w:rPr>
      </w:pPr>
      <w:r w:rsidRPr="002A6F7F">
        <w:rPr>
          <w:szCs w:val="24"/>
        </w:rPr>
        <w:t>Environmental Implications</w:t>
      </w:r>
    </w:p>
    <w:p w14:paraId="32D64F67" w14:textId="77777777" w:rsidR="00D04F65" w:rsidRPr="00D04F65" w:rsidRDefault="00D04F65" w:rsidP="00D04F65">
      <w:pPr>
        <w:keepNext/>
      </w:pPr>
    </w:p>
    <w:p w14:paraId="580C0BE9" w14:textId="77777777" w:rsidR="00D04F65" w:rsidRDefault="00D04F65" w:rsidP="00D04F65">
      <w:r>
        <w:t xml:space="preserve">There are no direct environmental implications arising from this report. However, each of the projects referred to in the report will have some environmental impact and this should be assessed to ensure that any decisions, taken in response to this report, do not have a negative impact on </w:t>
      </w:r>
      <w:r>
        <w:lastRenderedPageBreak/>
        <w:t>the environment and, where possible, positively contribute towards the Council’s climate change strategy.</w:t>
      </w:r>
    </w:p>
    <w:p w14:paraId="6131CD39" w14:textId="77777777" w:rsidR="00D04F65" w:rsidRDefault="00D04F65" w:rsidP="00D04F65">
      <w:pPr>
        <w:tabs>
          <w:tab w:val="left" w:pos="7245"/>
        </w:tabs>
      </w:pPr>
    </w:p>
    <w:p w14:paraId="6B69E6DB" w14:textId="77777777" w:rsidR="002A3FEF" w:rsidRDefault="002A3FEF" w:rsidP="001C7E35"/>
    <w:p w14:paraId="410D8AEE" w14:textId="77777777" w:rsidR="00D04F65" w:rsidRDefault="00D04F65" w:rsidP="00D04F65">
      <w:pPr>
        <w:pStyle w:val="Heading2"/>
        <w:keepNext/>
      </w:pPr>
      <w:r>
        <w:t>Risk Management Implications</w:t>
      </w:r>
    </w:p>
    <w:p w14:paraId="3F97A57A" w14:textId="77777777" w:rsidR="00D04F65" w:rsidRDefault="00D04F65" w:rsidP="00D04F65">
      <w:pPr>
        <w:pStyle w:val="Heading4"/>
        <w:rPr>
          <w:b w:val="0"/>
        </w:rPr>
      </w:pPr>
    </w:p>
    <w:p w14:paraId="37B40B11" w14:textId="77777777" w:rsidR="00D04F65" w:rsidRPr="00F43A35" w:rsidRDefault="00D04F65" w:rsidP="00D04F65">
      <w:pPr>
        <w:rPr>
          <w:iCs/>
        </w:rPr>
      </w:pPr>
      <w:r w:rsidRPr="00F43A35">
        <w:rPr>
          <w:iCs/>
        </w:rPr>
        <w:t>The risks arising from the Performance Report will be measured through the Council’s Corporate Risk Register.</w:t>
      </w:r>
    </w:p>
    <w:p w14:paraId="11196B89" w14:textId="77777777" w:rsidR="00D04F65" w:rsidRDefault="00D04F65" w:rsidP="00D04F65">
      <w:pPr>
        <w:ind w:right="141"/>
        <w:rPr>
          <w:rFonts w:cs="Arial"/>
          <w:szCs w:val="24"/>
          <w:lang w:val="en-US" w:eastAsia="en-GB"/>
        </w:rPr>
      </w:pPr>
    </w:p>
    <w:p w14:paraId="55A8E479" w14:textId="77777777" w:rsidR="00A81E19" w:rsidRDefault="00A81E19" w:rsidP="00A81E19">
      <w:pPr>
        <w:ind w:right="141"/>
        <w:rPr>
          <w:rFonts w:cs="Arial"/>
          <w:szCs w:val="24"/>
          <w:lang w:val="en-US" w:eastAsia="en-GB"/>
        </w:rPr>
      </w:pPr>
    </w:p>
    <w:p w14:paraId="42D1C73F" w14:textId="77777777" w:rsidR="00D04F65" w:rsidRPr="00140D7F" w:rsidRDefault="00D04F65" w:rsidP="00D04F65">
      <w:pPr>
        <w:pStyle w:val="Heading2"/>
        <w:keepNext/>
      </w:pPr>
      <w:r w:rsidRPr="00140D7F">
        <w:t xml:space="preserve">Procurement Implications </w:t>
      </w:r>
    </w:p>
    <w:p w14:paraId="04D59BB9" w14:textId="77777777" w:rsidR="00D04F65" w:rsidRPr="00140D7F" w:rsidRDefault="00D04F65" w:rsidP="00D04F65">
      <w:pPr>
        <w:keepNext/>
      </w:pPr>
    </w:p>
    <w:p w14:paraId="11C3C7E6" w14:textId="77777777" w:rsidR="00D04F65" w:rsidRPr="00140D7F" w:rsidRDefault="00D04F65" w:rsidP="00D04F65">
      <w:r w:rsidRPr="00140D7F">
        <w:t>None specific to this report.</w:t>
      </w:r>
    </w:p>
    <w:p w14:paraId="1ED8852B" w14:textId="77777777" w:rsidR="00D04F65" w:rsidRPr="00140D7F" w:rsidRDefault="00D04F65" w:rsidP="00D04F65"/>
    <w:p w14:paraId="4BB4FF05" w14:textId="77777777" w:rsidR="002A3FEF" w:rsidRPr="00DE7528" w:rsidRDefault="002A3FEF" w:rsidP="00DE7528"/>
    <w:p w14:paraId="51BC71BC" w14:textId="77777777" w:rsidR="00D04F65" w:rsidRPr="00140D7F" w:rsidRDefault="00D04F65" w:rsidP="00385167">
      <w:pPr>
        <w:pStyle w:val="Heading2"/>
        <w:keepNext/>
      </w:pPr>
      <w:r w:rsidRPr="00140D7F">
        <w:t>Legal Implications</w:t>
      </w:r>
    </w:p>
    <w:p w14:paraId="45641A07" w14:textId="77777777" w:rsidR="00D04F65" w:rsidRPr="00140D7F" w:rsidRDefault="00D04F65" w:rsidP="00385167">
      <w:pPr>
        <w:pStyle w:val="Heading4"/>
        <w:rPr>
          <w:b w:val="0"/>
        </w:rPr>
      </w:pPr>
    </w:p>
    <w:p w14:paraId="2C476B7D" w14:textId="77777777" w:rsidR="00D04F65" w:rsidRPr="00140D7F" w:rsidRDefault="00D04F65" w:rsidP="00D04F65">
      <w:r w:rsidRPr="00DC6AC5">
        <w:t>None specific to this report.</w:t>
      </w:r>
    </w:p>
    <w:p w14:paraId="4AF3784C" w14:textId="77777777" w:rsidR="00D04F65" w:rsidRPr="00140D7F" w:rsidRDefault="00D04F65" w:rsidP="00D04F65"/>
    <w:p w14:paraId="1C999D70" w14:textId="77777777" w:rsidR="001C7E35" w:rsidRDefault="001C7E35" w:rsidP="001C7E35"/>
    <w:p w14:paraId="417FD2EC" w14:textId="77777777" w:rsidR="00385167" w:rsidRPr="00140D7F" w:rsidRDefault="00385167" w:rsidP="00385167">
      <w:pPr>
        <w:pStyle w:val="Heading2"/>
        <w:keepNext/>
      </w:pPr>
      <w:r w:rsidRPr="00140D7F">
        <w:t>Financial Implications</w:t>
      </w:r>
    </w:p>
    <w:p w14:paraId="5FCB84CB" w14:textId="77777777" w:rsidR="00385167" w:rsidRPr="00140D7F" w:rsidRDefault="00385167" w:rsidP="00385167">
      <w:pPr>
        <w:keepNext/>
      </w:pPr>
    </w:p>
    <w:p w14:paraId="1DB25084" w14:textId="77777777" w:rsidR="00385167" w:rsidRPr="00140D7F" w:rsidRDefault="00385167" w:rsidP="00385167">
      <w:pPr>
        <w:autoSpaceDE w:val="0"/>
        <w:autoSpaceDN w:val="0"/>
        <w:adjustRightInd w:val="0"/>
      </w:pPr>
      <w:r w:rsidRPr="00140D7F">
        <w:t>There are no Financial Implications arising from this report.</w:t>
      </w:r>
    </w:p>
    <w:p w14:paraId="5CC79997" w14:textId="77777777" w:rsidR="00385167" w:rsidRPr="00140D7F" w:rsidRDefault="00385167" w:rsidP="00385167"/>
    <w:p w14:paraId="5DDE2DA0" w14:textId="77777777" w:rsidR="00385167" w:rsidRPr="00140D7F" w:rsidRDefault="00385167" w:rsidP="00385167">
      <w:pPr>
        <w:pStyle w:val="Heading2"/>
        <w:keepNext/>
      </w:pPr>
      <w:r w:rsidRPr="00140D7F">
        <w:t>Equalities implications / Public Sector Equality Duty</w:t>
      </w:r>
    </w:p>
    <w:p w14:paraId="2F89367B" w14:textId="77777777" w:rsidR="00385167" w:rsidRPr="00140D7F" w:rsidRDefault="00385167" w:rsidP="00385167">
      <w:pPr>
        <w:keepNext/>
      </w:pPr>
    </w:p>
    <w:p w14:paraId="3DFBE0FA" w14:textId="77777777" w:rsidR="00385167" w:rsidRPr="00140D7F" w:rsidRDefault="00385167" w:rsidP="00385167">
      <w:r w:rsidRPr="00140D7F">
        <w:t>Any decisions driven by the actions taken in response to this report will need to be assessed through an Equalities Impact Assessment.</w:t>
      </w:r>
    </w:p>
    <w:p w14:paraId="09CAFEA6" w14:textId="77777777" w:rsidR="00FE17E2" w:rsidRDefault="00FE17E2" w:rsidP="001966D7"/>
    <w:p w14:paraId="4B97D343" w14:textId="77777777" w:rsidR="00333FAA" w:rsidRPr="009117F2" w:rsidRDefault="00333FAA" w:rsidP="00385167">
      <w:pPr>
        <w:keepNext/>
        <w:rPr>
          <w:b/>
          <w:sz w:val="28"/>
          <w:szCs w:val="28"/>
        </w:rPr>
      </w:pPr>
      <w:r>
        <w:rPr>
          <w:b/>
          <w:sz w:val="28"/>
          <w:szCs w:val="28"/>
        </w:rPr>
        <w:t xml:space="preserve">Council </w:t>
      </w:r>
      <w:r w:rsidRPr="009117F2">
        <w:rPr>
          <w:b/>
          <w:sz w:val="28"/>
          <w:szCs w:val="28"/>
        </w:rPr>
        <w:t>Priorities</w:t>
      </w:r>
    </w:p>
    <w:p w14:paraId="1A908A95" w14:textId="77777777" w:rsidR="00333FAA" w:rsidRDefault="00333FAA" w:rsidP="00385167">
      <w:pPr>
        <w:keepNext/>
      </w:pPr>
    </w:p>
    <w:p w14:paraId="26B9A257" w14:textId="76C0B021" w:rsidR="00385167" w:rsidRDefault="00385167" w:rsidP="001966D7">
      <w:pPr>
        <w:rPr>
          <w:rFonts w:cs="Arial"/>
          <w:szCs w:val="24"/>
          <w:lang w:val="en-US"/>
        </w:rPr>
      </w:pPr>
      <w:r w:rsidRPr="00385167">
        <w:rPr>
          <w:rFonts w:cs="Arial"/>
          <w:szCs w:val="24"/>
          <w:lang w:val="en-US"/>
        </w:rPr>
        <w:t xml:space="preserve">This report deals with progress against each of the </w:t>
      </w:r>
      <w:r>
        <w:rPr>
          <w:rFonts w:cs="Arial"/>
          <w:szCs w:val="24"/>
          <w:lang w:val="en-US"/>
        </w:rPr>
        <w:t>Council Priorities</w:t>
      </w:r>
      <w:r w:rsidRPr="00385167">
        <w:rPr>
          <w:rFonts w:cs="Arial"/>
          <w:szCs w:val="24"/>
          <w:lang w:val="en-US"/>
        </w:rPr>
        <w:t>, as shown in Appendix</w:t>
      </w:r>
      <w:r>
        <w:rPr>
          <w:rFonts w:cs="Arial"/>
          <w:szCs w:val="24"/>
          <w:lang w:val="en-US"/>
        </w:rPr>
        <w:t xml:space="preserve"> 2</w:t>
      </w:r>
      <w:r w:rsidRPr="00385167">
        <w:rPr>
          <w:rFonts w:cs="Arial"/>
          <w:szCs w:val="24"/>
          <w:lang w:val="en-US"/>
        </w:rPr>
        <w:t>.</w:t>
      </w:r>
    </w:p>
    <w:p w14:paraId="62255B5F" w14:textId="77777777" w:rsidR="00385167" w:rsidRDefault="00385167" w:rsidP="001966D7">
      <w:pPr>
        <w:rPr>
          <w:rFonts w:cs="Arial"/>
          <w:szCs w:val="24"/>
          <w:lang w:val="en-US"/>
        </w:rPr>
      </w:pPr>
    </w:p>
    <w:p w14:paraId="3213557C" w14:textId="77777777" w:rsidR="00307F76" w:rsidRPr="00F22C98" w:rsidRDefault="00307F76" w:rsidP="00307F76"/>
    <w:p w14:paraId="2AC34DF0" w14:textId="77777777" w:rsidR="00307F76" w:rsidRPr="00F22C98" w:rsidRDefault="00307F76" w:rsidP="00307F76">
      <w:pPr>
        <w:rPr>
          <w:rFonts w:cs="Arial"/>
        </w:rPr>
      </w:pPr>
    </w:p>
    <w:p w14:paraId="2191CC80" w14:textId="77777777" w:rsidR="00333FAA" w:rsidRDefault="00333FAA" w:rsidP="00333FAA">
      <w:pPr>
        <w:pStyle w:val="Heading1"/>
        <w:keepNext/>
      </w:pPr>
      <w:r>
        <w:t>Section 3 - Statutory Officer Clearance</w:t>
      </w:r>
    </w:p>
    <w:p w14:paraId="715F1BF2" w14:textId="77777777" w:rsidR="00333FAA" w:rsidRDefault="00333FAA" w:rsidP="00333FAA">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6"/>
        <w:gridCol w:w="365"/>
        <w:gridCol w:w="234"/>
        <w:gridCol w:w="3580"/>
      </w:tblGrid>
      <w:tr w:rsidR="00333FAA" w14:paraId="34E2A3EB" w14:textId="77777777">
        <w:tc>
          <w:tcPr>
            <w:tcW w:w="4752" w:type="dxa"/>
            <w:tcBorders>
              <w:bottom w:val="nil"/>
              <w:right w:val="nil"/>
            </w:tcBorders>
          </w:tcPr>
          <w:p w14:paraId="68BFFDC2" w14:textId="77777777" w:rsidR="00333FAA" w:rsidRDefault="00333FAA" w:rsidP="00A53B04">
            <w:pPr>
              <w:pStyle w:val="Infotext"/>
            </w:pPr>
          </w:p>
          <w:p w14:paraId="2876FC6E" w14:textId="77777777" w:rsidR="00333FAA" w:rsidRDefault="00333FAA" w:rsidP="00A53B04">
            <w:pPr>
              <w:pStyle w:val="Infotext"/>
            </w:pPr>
          </w:p>
        </w:tc>
        <w:tc>
          <w:tcPr>
            <w:tcW w:w="387" w:type="dxa"/>
            <w:tcBorders>
              <w:left w:val="nil"/>
              <w:right w:val="nil"/>
            </w:tcBorders>
          </w:tcPr>
          <w:p w14:paraId="77BED296" w14:textId="77777777" w:rsidR="00333FAA" w:rsidRDefault="00333FAA" w:rsidP="00A53B04">
            <w:pPr>
              <w:pStyle w:val="Infotext"/>
            </w:pPr>
          </w:p>
        </w:tc>
        <w:tc>
          <w:tcPr>
            <w:tcW w:w="236" w:type="dxa"/>
            <w:tcBorders>
              <w:left w:val="nil"/>
              <w:bottom w:val="nil"/>
              <w:right w:val="nil"/>
            </w:tcBorders>
          </w:tcPr>
          <w:p w14:paraId="6EA1C165" w14:textId="77777777" w:rsidR="00333FAA" w:rsidRDefault="00333FAA" w:rsidP="00A53B04">
            <w:pPr>
              <w:pStyle w:val="Infotext"/>
            </w:pPr>
          </w:p>
        </w:tc>
        <w:tc>
          <w:tcPr>
            <w:tcW w:w="3890" w:type="dxa"/>
            <w:tcBorders>
              <w:left w:val="nil"/>
              <w:bottom w:val="nil"/>
            </w:tcBorders>
          </w:tcPr>
          <w:p w14:paraId="4E85381A" w14:textId="77777777" w:rsidR="00333FAA" w:rsidRDefault="00333FAA" w:rsidP="00A53B04">
            <w:pPr>
              <w:pStyle w:val="Infotext"/>
            </w:pPr>
          </w:p>
          <w:p w14:paraId="67C61363" w14:textId="77777777" w:rsidR="00333FAA" w:rsidRDefault="00333FAA" w:rsidP="00A53B04">
            <w:pPr>
              <w:pStyle w:val="Infotext"/>
            </w:pPr>
            <w:r>
              <w:t>on behalf of the</w:t>
            </w:r>
            <w:r w:rsidR="001966D7">
              <w:t xml:space="preserve"> *</w:t>
            </w:r>
          </w:p>
        </w:tc>
      </w:tr>
      <w:tr w:rsidR="00333FAA" w14:paraId="05CC9659" w14:textId="77777777">
        <w:tc>
          <w:tcPr>
            <w:tcW w:w="4752" w:type="dxa"/>
            <w:tcBorders>
              <w:top w:val="nil"/>
              <w:bottom w:val="nil"/>
            </w:tcBorders>
          </w:tcPr>
          <w:p w14:paraId="75B737DF" w14:textId="59466F2F" w:rsidR="00333FAA" w:rsidRDefault="00333FAA" w:rsidP="00A20D78">
            <w:pPr>
              <w:pStyle w:val="Infotext"/>
            </w:pPr>
            <w:r>
              <w:t>Name:</w:t>
            </w:r>
            <w:r w:rsidR="00DB6C3D">
              <w:t xml:space="preserve"> </w:t>
            </w:r>
            <w:r w:rsidR="00935A48">
              <w:tab/>
              <w:t>Sharon Daniels</w:t>
            </w:r>
          </w:p>
        </w:tc>
        <w:tc>
          <w:tcPr>
            <w:tcW w:w="387" w:type="dxa"/>
            <w:tcBorders>
              <w:bottom w:val="single" w:sz="4" w:space="0" w:color="auto"/>
            </w:tcBorders>
          </w:tcPr>
          <w:p w14:paraId="10E76D7C" w14:textId="77777777" w:rsidR="00333FAA" w:rsidRDefault="00333FAA" w:rsidP="00A53B04">
            <w:pPr>
              <w:pStyle w:val="Infotext"/>
            </w:pPr>
          </w:p>
        </w:tc>
        <w:tc>
          <w:tcPr>
            <w:tcW w:w="236" w:type="dxa"/>
            <w:tcBorders>
              <w:top w:val="nil"/>
              <w:bottom w:val="nil"/>
              <w:right w:val="nil"/>
            </w:tcBorders>
          </w:tcPr>
          <w:p w14:paraId="195FF11C" w14:textId="77777777" w:rsidR="00333FAA" w:rsidRDefault="00333FAA" w:rsidP="00A53B04">
            <w:pPr>
              <w:pStyle w:val="Infotext"/>
            </w:pPr>
          </w:p>
        </w:tc>
        <w:tc>
          <w:tcPr>
            <w:tcW w:w="3890" w:type="dxa"/>
            <w:tcBorders>
              <w:top w:val="nil"/>
              <w:left w:val="nil"/>
              <w:bottom w:val="nil"/>
            </w:tcBorders>
          </w:tcPr>
          <w:p w14:paraId="10B18874" w14:textId="77777777" w:rsidR="00333FAA" w:rsidRDefault="00333FAA" w:rsidP="00A53B04">
            <w:pPr>
              <w:pStyle w:val="Infotext"/>
            </w:pPr>
            <w:r>
              <w:t>Chief Financial Officer</w:t>
            </w:r>
          </w:p>
        </w:tc>
      </w:tr>
      <w:tr w:rsidR="00333FAA" w14:paraId="36B15FA6" w14:textId="77777777">
        <w:tc>
          <w:tcPr>
            <w:tcW w:w="4752" w:type="dxa"/>
            <w:tcBorders>
              <w:top w:val="nil"/>
              <w:right w:val="nil"/>
            </w:tcBorders>
          </w:tcPr>
          <w:p w14:paraId="14B07D65" w14:textId="77777777" w:rsidR="00333FAA" w:rsidRDefault="00333FAA" w:rsidP="00A53B04">
            <w:pPr>
              <w:pStyle w:val="Infotext"/>
            </w:pPr>
            <w:r>
              <w:t xml:space="preserve"> </w:t>
            </w:r>
          </w:p>
          <w:p w14:paraId="51C753D9" w14:textId="46A246D7" w:rsidR="00333FAA" w:rsidRDefault="00333FAA" w:rsidP="00A20D78">
            <w:pPr>
              <w:pStyle w:val="Infotext"/>
            </w:pPr>
            <w:r>
              <w:t xml:space="preserve">Date: </w:t>
            </w:r>
            <w:r w:rsidR="00A20D78">
              <w:t xml:space="preserve"> </w:t>
            </w:r>
            <w:r w:rsidR="00935A48">
              <w:tab/>
              <w:t>30 August 2019</w:t>
            </w:r>
          </w:p>
        </w:tc>
        <w:tc>
          <w:tcPr>
            <w:tcW w:w="387" w:type="dxa"/>
            <w:tcBorders>
              <w:left w:val="nil"/>
              <w:bottom w:val="single" w:sz="4" w:space="0" w:color="auto"/>
              <w:right w:val="nil"/>
            </w:tcBorders>
          </w:tcPr>
          <w:p w14:paraId="66E88299" w14:textId="77777777" w:rsidR="00333FAA" w:rsidRDefault="00333FAA" w:rsidP="00A53B04">
            <w:pPr>
              <w:pStyle w:val="Infotext"/>
            </w:pPr>
          </w:p>
        </w:tc>
        <w:tc>
          <w:tcPr>
            <w:tcW w:w="236" w:type="dxa"/>
            <w:tcBorders>
              <w:top w:val="nil"/>
              <w:left w:val="nil"/>
              <w:right w:val="nil"/>
            </w:tcBorders>
          </w:tcPr>
          <w:p w14:paraId="00E70E76" w14:textId="77777777" w:rsidR="00333FAA" w:rsidRDefault="00333FAA" w:rsidP="00A53B04">
            <w:pPr>
              <w:pStyle w:val="Infotext"/>
            </w:pPr>
          </w:p>
        </w:tc>
        <w:tc>
          <w:tcPr>
            <w:tcW w:w="3890" w:type="dxa"/>
            <w:tcBorders>
              <w:top w:val="nil"/>
              <w:left w:val="nil"/>
            </w:tcBorders>
          </w:tcPr>
          <w:p w14:paraId="3B228767" w14:textId="77777777" w:rsidR="00333FAA" w:rsidRDefault="00333FAA" w:rsidP="00A53B04">
            <w:pPr>
              <w:pStyle w:val="Infotext"/>
            </w:pPr>
          </w:p>
        </w:tc>
      </w:tr>
      <w:tr w:rsidR="00333FAA" w14:paraId="6331F8C3" w14:textId="77777777">
        <w:tc>
          <w:tcPr>
            <w:tcW w:w="4752" w:type="dxa"/>
            <w:tcBorders>
              <w:bottom w:val="nil"/>
              <w:right w:val="nil"/>
            </w:tcBorders>
          </w:tcPr>
          <w:p w14:paraId="4DAF3174" w14:textId="77777777" w:rsidR="00333FAA" w:rsidRDefault="00333FAA" w:rsidP="00A53B04">
            <w:pPr>
              <w:pStyle w:val="Infotext"/>
            </w:pPr>
          </w:p>
          <w:p w14:paraId="55091A4A" w14:textId="77777777" w:rsidR="00333FAA" w:rsidRDefault="00333FAA" w:rsidP="00A53B04">
            <w:pPr>
              <w:pStyle w:val="Infotext"/>
            </w:pPr>
          </w:p>
        </w:tc>
        <w:tc>
          <w:tcPr>
            <w:tcW w:w="387" w:type="dxa"/>
            <w:tcBorders>
              <w:left w:val="nil"/>
              <w:right w:val="nil"/>
            </w:tcBorders>
          </w:tcPr>
          <w:p w14:paraId="594258FB" w14:textId="77777777" w:rsidR="00333FAA" w:rsidRDefault="00333FAA" w:rsidP="00A53B04">
            <w:pPr>
              <w:pStyle w:val="Infotext"/>
            </w:pPr>
          </w:p>
        </w:tc>
        <w:tc>
          <w:tcPr>
            <w:tcW w:w="236" w:type="dxa"/>
            <w:tcBorders>
              <w:left w:val="nil"/>
              <w:bottom w:val="nil"/>
              <w:right w:val="nil"/>
            </w:tcBorders>
          </w:tcPr>
          <w:p w14:paraId="615C75B1" w14:textId="77777777" w:rsidR="00333FAA" w:rsidRDefault="00333FAA" w:rsidP="00A53B04">
            <w:pPr>
              <w:pStyle w:val="Infotext"/>
            </w:pPr>
          </w:p>
        </w:tc>
        <w:tc>
          <w:tcPr>
            <w:tcW w:w="3890" w:type="dxa"/>
            <w:tcBorders>
              <w:left w:val="nil"/>
              <w:bottom w:val="nil"/>
            </w:tcBorders>
          </w:tcPr>
          <w:p w14:paraId="331BDF58" w14:textId="77777777" w:rsidR="00333FAA" w:rsidRDefault="00333FAA" w:rsidP="00A53B04">
            <w:pPr>
              <w:pStyle w:val="Infotext"/>
            </w:pPr>
          </w:p>
          <w:p w14:paraId="4F53F6DA" w14:textId="3F8AA8D3" w:rsidR="00333FAA" w:rsidRDefault="00333FAA" w:rsidP="00A53B04">
            <w:pPr>
              <w:pStyle w:val="Infotext"/>
            </w:pPr>
          </w:p>
        </w:tc>
      </w:tr>
      <w:tr w:rsidR="00333FAA" w14:paraId="723B8B34" w14:textId="77777777">
        <w:tc>
          <w:tcPr>
            <w:tcW w:w="4752" w:type="dxa"/>
            <w:tcBorders>
              <w:top w:val="nil"/>
              <w:bottom w:val="nil"/>
            </w:tcBorders>
          </w:tcPr>
          <w:p w14:paraId="0F213C71" w14:textId="2D5C0DD0" w:rsidR="00333FAA" w:rsidRDefault="00333FAA" w:rsidP="00A20D78">
            <w:pPr>
              <w:pStyle w:val="Infotext"/>
            </w:pPr>
            <w:r>
              <w:t>Name:</w:t>
            </w:r>
            <w:r w:rsidR="001E0909">
              <w:tab/>
              <w:t>Hugh Peart</w:t>
            </w:r>
          </w:p>
        </w:tc>
        <w:tc>
          <w:tcPr>
            <w:tcW w:w="387" w:type="dxa"/>
            <w:tcBorders>
              <w:bottom w:val="single" w:sz="4" w:space="0" w:color="auto"/>
            </w:tcBorders>
          </w:tcPr>
          <w:p w14:paraId="0918683C" w14:textId="77777777" w:rsidR="00333FAA" w:rsidRDefault="00333FAA" w:rsidP="00A53B04">
            <w:pPr>
              <w:pStyle w:val="Infotext"/>
            </w:pPr>
          </w:p>
        </w:tc>
        <w:tc>
          <w:tcPr>
            <w:tcW w:w="236" w:type="dxa"/>
            <w:tcBorders>
              <w:top w:val="nil"/>
              <w:bottom w:val="nil"/>
              <w:right w:val="nil"/>
            </w:tcBorders>
          </w:tcPr>
          <w:p w14:paraId="08638D95" w14:textId="77777777" w:rsidR="00333FAA" w:rsidRDefault="00333FAA" w:rsidP="00A53B04">
            <w:pPr>
              <w:pStyle w:val="Infotext"/>
            </w:pPr>
          </w:p>
        </w:tc>
        <w:tc>
          <w:tcPr>
            <w:tcW w:w="3890" w:type="dxa"/>
            <w:tcBorders>
              <w:top w:val="nil"/>
              <w:left w:val="nil"/>
              <w:bottom w:val="nil"/>
            </w:tcBorders>
          </w:tcPr>
          <w:p w14:paraId="6E3B410D" w14:textId="77777777" w:rsidR="00333FAA" w:rsidRDefault="00333FAA" w:rsidP="00A53B04">
            <w:pPr>
              <w:pStyle w:val="Infotext"/>
            </w:pPr>
            <w:r>
              <w:t>Monitoring Officer</w:t>
            </w:r>
          </w:p>
        </w:tc>
      </w:tr>
      <w:tr w:rsidR="00333FAA" w14:paraId="5BE8AAF7" w14:textId="77777777">
        <w:tc>
          <w:tcPr>
            <w:tcW w:w="4752" w:type="dxa"/>
            <w:tcBorders>
              <w:top w:val="nil"/>
              <w:right w:val="nil"/>
            </w:tcBorders>
          </w:tcPr>
          <w:p w14:paraId="715830EA" w14:textId="77777777" w:rsidR="00333FAA" w:rsidRDefault="00333FAA" w:rsidP="00A53B04">
            <w:pPr>
              <w:pStyle w:val="Infotext"/>
            </w:pPr>
          </w:p>
          <w:p w14:paraId="5F5977EB" w14:textId="2AF7F63C" w:rsidR="00333FAA" w:rsidRDefault="00333FAA" w:rsidP="00A20D78">
            <w:pPr>
              <w:pStyle w:val="Infotext"/>
            </w:pPr>
            <w:r>
              <w:t xml:space="preserve">Date: </w:t>
            </w:r>
            <w:r w:rsidR="00A20D78">
              <w:t xml:space="preserve"> </w:t>
            </w:r>
            <w:r w:rsidR="001E0909">
              <w:tab/>
              <w:t>3 September 2019</w:t>
            </w:r>
          </w:p>
        </w:tc>
        <w:tc>
          <w:tcPr>
            <w:tcW w:w="387" w:type="dxa"/>
            <w:tcBorders>
              <w:left w:val="nil"/>
              <w:right w:val="nil"/>
            </w:tcBorders>
          </w:tcPr>
          <w:p w14:paraId="065A5667" w14:textId="77777777" w:rsidR="00333FAA" w:rsidRDefault="00333FAA" w:rsidP="00A53B04">
            <w:pPr>
              <w:pStyle w:val="Infotext"/>
            </w:pPr>
          </w:p>
        </w:tc>
        <w:tc>
          <w:tcPr>
            <w:tcW w:w="236" w:type="dxa"/>
            <w:tcBorders>
              <w:top w:val="nil"/>
              <w:left w:val="nil"/>
              <w:right w:val="nil"/>
            </w:tcBorders>
          </w:tcPr>
          <w:p w14:paraId="52B173B3" w14:textId="77777777" w:rsidR="00333FAA" w:rsidRDefault="00333FAA" w:rsidP="00A53B04">
            <w:pPr>
              <w:pStyle w:val="Infotext"/>
            </w:pPr>
          </w:p>
        </w:tc>
        <w:tc>
          <w:tcPr>
            <w:tcW w:w="3890" w:type="dxa"/>
            <w:tcBorders>
              <w:top w:val="nil"/>
              <w:left w:val="nil"/>
            </w:tcBorders>
          </w:tcPr>
          <w:p w14:paraId="7CB08266" w14:textId="77777777" w:rsidR="00333FAA" w:rsidRDefault="00333FAA" w:rsidP="00A53B04">
            <w:pPr>
              <w:pStyle w:val="Infotext"/>
            </w:pPr>
          </w:p>
          <w:p w14:paraId="1A87843C" w14:textId="77777777" w:rsidR="00333FAA" w:rsidRDefault="00333FAA" w:rsidP="00A53B04">
            <w:pPr>
              <w:pStyle w:val="Infotext"/>
            </w:pPr>
          </w:p>
        </w:tc>
      </w:tr>
    </w:tbl>
    <w:p w14:paraId="5E30F560" w14:textId="77777777" w:rsidR="00435B5D" w:rsidRDefault="00435B5D" w:rsidP="00321FB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3"/>
        <w:gridCol w:w="403"/>
        <w:gridCol w:w="234"/>
        <w:gridCol w:w="3585"/>
      </w:tblGrid>
      <w:tr w:rsidR="007116B1" w14:paraId="32BEF304" w14:textId="77777777" w:rsidTr="004809FA">
        <w:tc>
          <w:tcPr>
            <w:tcW w:w="4752" w:type="dxa"/>
            <w:tcBorders>
              <w:bottom w:val="nil"/>
              <w:right w:val="nil"/>
            </w:tcBorders>
          </w:tcPr>
          <w:p w14:paraId="174256E5" w14:textId="77777777" w:rsidR="00321FBB" w:rsidRDefault="00321FBB" w:rsidP="004809FA">
            <w:pPr>
              <w:pStyle w:val="Infotext"/>
            </w:pPr>
          </w:p>
          <w:p w14:paraId="670C3BB2" w14:textId="77777777" w:rsidR="00321FBB" w:rsidRDefault="00321FBB" w:rsidP="004809FA">
            <w:pPr>
              <w:pStyle w:val="Infotext"/>
            </w:pPr>
          </w:p>
        </w:tc>
        <w:tc>
          <w:tcPr>
            <w:tcW w:w="387" w:type="dxa"/>
            <w:tcBorders>
              <w:left w:val="nil"/>
              <w:right w:val="nil"/>
            </w:tcBorders>
          </w:tcPr>
          <w:p w14:paraId="5B5B17D2" w14:textId="77777777" w:rsidR="00321FBB" w:rsidRDefault="00321FBB" w:rsidP="004809FA">
            <w:pPr>
              <w:pStyle w:val="Infotext"/>
            </w:pPr>
          </w:p>
        </w:tc>
        <w:tc>
          <w:tcPr>
            <w:tcW w:w="236" w:type="dxa"/>
            <w:tcBorders>
              <w:left w:val="nil"/>
              <w:bottom w:val="nil"/>
              <w:right w:val="nil"/>
            </w:tcBorders>
          </w:tcPr>
          <w:p w14:paraId="50ADAC4E" w14:textId="77777777" w:rsidR="00321FBB" w:rsidRDefault="00321FBB" w:rsidP="004809FA">
            <w:pPr>
              <w:pStyle w:val="Infotext"/>
            </w:pPr>
          </w:p>
        </w:tc>
        <w:tc>
          <w:tcPr>
            <w:tcW w:w="3890" w:type="dxa"/>
            <w:tcBorders>
              <w:left w:val="nil"/>
              <w:bottom w:val="nil"/>
            </w:tcBorders>
          </w:tcPr>
          <w:p w14:paraId="31B7FE15" w14:textId="77777777" w:rsidR="00321FBB" w:rsidRDefault="00321FBB" w:rsidP="004809FA">
            <w:pPr>
              <w:pStyle w:val="Infotext"/>
            </w:pPr>
          </w:p>
          <w:p w14:paraId="7A9B4BFC" w14:textId="3E158CCB" w:rsidR="00321FBB" w:rsidRDefault="00321FBB" w:rsidP="00321FBB">
            <w:pPr>
              <w:pStyle w:val="Infotext"/>
            </w:pPr>
          </w:p>
        </w:tc>
      </w:tr>
      <w:tr w:rsidR="007116B1" w14:paraId="5F7475C5" w14:textId="77777777" w:rsidTr="004809FA">
        <w:tc>
          <w:tcPr>
            <w:tcW w:w="4752" w:type="dxa"/>
            <w:tcBorders>
              <w:top w:val="nil"/>
              <w:bottom w:val="nil"/>
            </w:tcBorders>
          </w:tcPr>
          <w:p w14:paraId="627DACA7" w14:textId="2F53E0A5" w:rsidR="00321FBB" w:rsidRDefault="00321FBB" w:rsidP="00A20D78">
            <w:pPr>
              <w:pStyle w:val="Infotext"/>
            </w:pPr>
            <w:r>
              <w:t xml:space="preserve">Name: </w:t>
            </w:r>
            <w:r w:rsidR="00935A48">
              <w:tab/>
              <w:t>Nimesh Mehta</w:t>
            </w:r>
          </w:p>
        </w:tc>
        <w:tc>
          <w:tcPr>
            <w:tcW w:w="387" w:type="dxa"/>
            <w:tcBorders>
              <w:bottom w:val="single" w:sz="4" w:space="0" w:color="auto"/>
            </w:tcBorders>
          </w:tcPr>
          <w:p w14:paraId="0A557875" w14:textId="59D7CAEC" w:rsidR="00321FBB" w:rsidRDefault="001E0909" w:rsidP="004809FA">
            <w:pPr>
              <w:pStyle w:val="Infotext"/>
            </w:pPr>
            <w:r>
              <w:t>X</w:t>
            </w:r>
          </w:p>
        </w:tc>
        <w:tc>
          <w:tcPr>
            <w:tcW w:w="236" w:type="dxa"/>
            <w:tcBorders>
              <w:top w:val="nil"/>
              <w:bottom w:val="nil"/>
              <w:right w:val="nil"/>
            </w:tcBorders>
          </w:tcPr>
          <w:p w14:paraId="0BFAE8AA" w14:textId="77777777" w:rsidR="00321FBB" w:rsidRDefault="00321FBB" w:rsidP="004809FA">
            <w:pPr>
              <w:pStyle w:val="Infotext"/>
            </w:pPr>
          </w:p>
        </w:tc>
        <w:tc>
          <w:tcPr>
            <w:tcW w:w="3890" w:type="dxa"/>
            <w:tcBorders>
              <w:top w:val="nil"/>
              <w:left w:val="nil"/>
              <w:bottom w:val="nil"/>
            </w:tcBorders>
          </w:tcPr>
          <w:p w14:paraId="33BC722A" w14:textId="77777777" w:rsidR="00321FBB" w:rsidRDefault="007116B1" w:rsidP="007116B1">
            <w:pPr>
              <w:pStyle w:val="Infotext"/>
            </w:pPr>
            <w:r>
              <w:t>Head of Procurement</w:t>
            </w:r>
          </w:p>
        </w:tc>
      </w:tr>
      <w:tr w:rsidR="007116B1" w14:paraId="75109D7A" w14:textId="77777777" w:rsidTr="004809FA">
        <w:tc>
          <w:tcPr>
            <w:tcW w:w="4752" w:type="dxa"/>
            <w:tcBorders>
              <w:top w:val="nil"/>
              <w:right w:val="nil"/>
            </w:tcBorders>
          </w:tcPr>
          <w:p w14:paraId="11D6EF78" w14:textId="77777777" w:rsidR="00321FBB" w:rsidRDefault="00321FBB" w:rsidP="004809FA">
            <w:pPr>
              <w:pStyle w:val="Infotext"/>
            </w:pPr>
            <w:r>
              <w:t xml:space="preserve"> </w:t>
            </w:r>
          </w:p>
          <w:p w14:paraId="7DAD8D75" w14:textId="3FDDDB6E" w:rsidR="00321FBB" w:rsidRDefault="00321FBB" w:rsidP="00A20D78">
            <w:pPr>
              <w:pStyle w:val="Infotext"/>
            </w:pPr>
            <w:r>
              <w:t xml:space="preserve">Date: </w:t>
            </w:r>
            <w:r w:rsidR="00935A48">
              <w:tab/>
              <w:t>29 August 2019</w:t>
            </w:r>
          </w:p>
        </w:tc>
        <w:tc>
          <w:tcPr>
            <w:tcW w:w="387" w:type="dxa"/>
            <w:tcBorders>
              <w:left w:val="nil"/>
              <w:bottom w:val="single" w:sz="4" w:space="0" w:color="auto"/>
              <w:right w:val="nil"/>
            </w:tcBorders>
          </w:tcPr>
          <w:p w14:paraId="0618AA8F" w14:textId="77777777" w:rsidR="00321FBB" w:rsidRDefault="00321FBB" w:rsidP="004809FA">
            <w:pPr>
              <w:pStyle w:val="Infotext"/>
            </w:pPr>
          </w:p>
        </w:tc>
        <w:tc>
          <w:tcPr>
            <w:tcW w:w="236" w:type="dxa"/>
            <w:tcBorders>
              <w:top w:val="nil"/>
              <w:left w:val="nil"/>
              <w:right w:val="nil"/>
            </w:tcBorders>
          </w:tcPr>
          <w:p w14:paraId="7B53D662" w14:textId="77777777" w:rsidR="00321FBB" w:rsidRDefault="00321FBB" w:rsidP="004809FA">
            <w:pPr>
              <w:pStyle w:val="Infotext"/>
            </w:pPr>
          </w:p>
        </w:tc>
        <w:tc>
          <w:tcPr>
            <w:tcW w:w="3890" w:type="dxa"/>
            <w:tcBorders>
              <w:top w:val="nil"/>
              <w:left w:val="nil"/>
            </w:tcBorders>
          </w:tcPr>
          <w:p w14:paraId="5A5474C5" w14:textId="77777777" w:rsidR="00321FBB" w:rsidRDefault="00321FBB" w:rsidP="004809FA">
            <w:pPr>
              <w:pStyle w:val="Infotext"/>
            </w:pPr>
          </w:p>
        </w:tc>
      </w:tr>
    </w:tbl>
    <w:p w14:paraId="19765173" w14:textId="77777777" w:rsidR="00321FBB" w:rsidRDefault="00321FBB" w:rsidP="00321FBB"/>
    <w:p w14:paraId="309E1332" w14:textId="77777777" w:rsidR="00333FAA" w:rsidRDefault="00333FAA" w:rsidP="00333FAA"/>
    <w:p w14:paraId="3B533304"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9"/>
        <w:gridCol w:w="403"/>
        <w:gridCol w:w="234"/>
        <w:gridCol w:w="3559"/>
      </w:tblGrid>
      <w:tr w:rsidR="00435B5D" w14:paraId="0767DBBB" w14:textId="77777777" w:rsidTr="004F54BD">
        <w:tc>
          <w:tcPr>
            <w:tcW w:w="4752" w:type="dxa"/>
            <w:tcBorders>
              <w:bottom w:val="nil"/>
              <w:right w:val="nil"/>
            </w:tcBorders>
          </w:tcPr>
          <w:p w14:paraId="01D8EFBB" w14:textId="77777777" w:rsidR="00435B5D" w:rsidRDefault="00435B5D" w:rsidP="004F54BD">
            <w:pPr>
              <w:pStyle w:val="Infotext"/>
            </w:pPr>
          </w:p>
          <w:p w14:paraId="7A719326" w14:textId="77777777" w:rsidR="00435B5D" w:rsidRDefault="00435B5D" w:rsidP="004F54BD">
            <w:pPr>
              <w:pStyle w:val="Infotext"/>
            </w:pPr>
          </w:p>
        </w:tc>
        <w:tc>
          <w:tcPr>
            <w:tcW w:w="387" w:type="dxa"/>
            <w:tcBorders>
              <w:left w:val="nil"/>
              <w:right w:val="nil"/>
            </w:tcBorders>
          </w:tcPr>
          <w:p w14:paraId="72271E2D" w14:textId="77777777" w:rsidR="00435B5D" w:rsidRDefault="00435B5D" w:rsidP="004F54BD">
            <w:pPr>
              <w:pStyle w:val="Infotext"/>
            </w:pPr>
          </w:p>
        </w:tc>
        <w:tc>
          <w:tcPr>
            <w:tcW w:w="236" w:type="dxa"/>
            <w:tcBorders>
              <w:left w:val="nil"/>
              <w:bottom w:val="nil"/>
              <w:right w:val="nil"/>
            </w:tcBorders>
          </w:tcPr>
          <w:p w14:paraId="61BDA167" w14:textId="77777777" w:rsidR="00435B5D" w:rsidRDefault="00435B5D" w:rsidP="004F54BD">
            <w:pPr>
              <w:pStyle w:val="Infotext"/>
            </w:pPr>
          </w:p>
        </w:tc>
        <w:tc>
          <w:tcPr>
            <w:tcW w:w="3890" w:type="dxa"/>
            <w:tcBorders>
              <w:left w:val="nil"/>
              <w:bottom w:val="nil"/>
            </w:tcBorders>
          </w:tcPr>
          <w:p w14:paraId="42E5CC67" w14:textId="77777777" w:rsidR="00435B5D" w:rsidRDefault="00435B5D" w:rsidP="004F54BD">
            <w:pPr>
              <w:pStyle w:val="Infotext"/>
            </w:pPr>
          </w:p>
          <w:p w14:paraId="04DF590C" w14:textId="77777777" w:rsidR="00435B5D" w:rsidRDefault="00435B5D" w:rsidP="004F54BD">
            <w:pPr>
              <w:pStyle w:val="Infotext"/>
            </w:pPr>
          </w:p>
        </w:tc>
      </w:tr>
      <w:tr w:rsidR="00435B5D" w14:paraId="7CFD3283" w14:textId="77777777" w:rsidTr="004F54BD">
        <w:tc>
          <w:tcPr>
            <w:tcW w:w="4752" w:type="dxa"/>
            <w:tcBorders>
              <w:top w:val="nil"/>
              <w:bottom w:val="nil"/>
            </w:tcBorders>
          </w:tcPr>
          <w:p w14:paraId="36655B84" w14:textId="5B05976B" w:rsidR="00435B5D" w:rsidRDefault="00435B5D" w:rsidP="00A20D78">
            <w:pPr>
              <w:pStyle w:val="Infotext"/>
            </w:pPr>
            <w:r>
              <w:t xml:space="preserve">Name: </w:t>
            </w:r>
            <w:r w:rsidR="001E0909">
              <w:tab/>
              <w:t>Charlie Stewart</w:t>
            </w:r>
          </w:p>
        </w:tc>
        <w:tc>
          <w:tcPr>
            <w:tcW w:w="387" w:type="dxa"/>
            <w:tcBorders>
              <w:bottom w:val="single" w:sz="4" w:space="0" w:color="auto"/>
            </w:tcBorders>
          </w:tcPr>
          <w:p w14:paraId="6974B4D6" w14:textId="4690B302" w:rsidR="00435B5D" w:rsidRDefault="001E0909" w:rsidP="004F54BD">
            <w:pPr>
              <w:pStyle w:val="Infotext"/>
            </w:pPr>
            <w:r>
              <w:t>X</w:t>
            </w:r>
          </w:p>
        </w:tc>
        <w:tc>
          <w:tcPr>
            <w:tcW w:w="236" w:type="dxa"/>
            <w:tcBorders>
              <w:top w:val="nil"/>
              <w:bottom w:val="nil"/>
              <w:right w:val="nil"/>
            </w:tcBorders>
          </w:tcPr>
          <w:p w14:paraId="3D4A666F" w14:textId="77777777" w:rsidR="00435B5D" w:rsidRDefault="00435B5D" w:rsidP="004F54BD">
            <w:pPr>
              <w:pStyle w:val="Infotext"/>
            </w:pPr>
          </w:p>
        </w:tc>
        <w:tc>
          <w:tcPr>
            <w:tcW w:w="3890" w:type="dxa"/>
            <w:tcBorders>
              <w:top w:val="nil"/>
              <w:left w:val="nil"/>
              <w:bottom w:val="nil"/>
            </w:tcBorders>
          </w:tcPr>
          <w:p w14:paraId="6A48915B" w14:textId="77777777" w:rsidR="00435B5D" w:rsidRDefault="00435B5D" w:rsidP="004F54BD">
            <w:pPr>
              <w:pStyle w:val="Infotext"/>
            </w:pPr>
            <w:r>
              <w:t>Corporate Director</w:t>
            </w:r>
          </w:p>
        </w:tc>
      </w:tr>
      <w:tr w:rsidR="00435B5D" w14:paraId="700828D6" w14:textId="77777777" w:rsidTr="004F54BD">
        <w:tc>
          <w:tcPr>
            <w:tcW w:w="4752" w:type="dxa"/>
            <w:tcBorders>
              <w:top w:val="nil"/>
              <w:right w:val="nil"/>
            </w:tcBorders>
          </w:tcPr>
          <w:p w14:paraId="1887BF5B" w14:textId="77777777" w:rsidR="00435B5D" w:rsidRDefault="00435B5D" w:rsidP="004F54BD">
            <w:pPr>
              <w:pStyle w:val="Infotext"/>
            </w:pPr>
            <w:r>
              <w:t xml:space="preserve"> </w:t>
            </w:r>
          </w:p>
          <w:p w14:paraId="2AC4D1F6" w14:textId="02217D7D" w:rsidR="00435B5D" w:rsidRDefault="00435B5D" w:rsidP="00A20D78">
            <w:pPr>
              <w:pStyle w:val="Infotext"/>
            </w:pPr>
            <w:r>
              <w:t xml:space="preserve">Date: </w:t>
            </w:r>
            <w:r w:rsidR="00A20D78">
              <w:t xml:space="preserve"> </w:t>
            </w:r>
            <w:r w:rsidR="001E0909">
              <w:tab/>
              <w:t>3 September 2019</w:t>
            </w:r>
          </w:p>
        </w:tc>
        <w:tc>
          <w:tcPr>
            <w:tcW w:w="387" w:type="dxa"/>
            <w:tcBorders>
              <w:left w:val="nil"/>
              <w:bottom w:val="single" w:sz="4" w:space="0" w:color="auto"/>
              <w:right w:val="nil"/>
            </w:tcBorders>
          </w:tcPr>
          <w:p w14:paraId="5BB7A448" w14:textId="77777777" w:rsidR="00435B5D" w:rsidRDefault="00435B5D" w:rsidP="004F54BD">
            <w:pPr>
              <w:pStyle w:val="Infotext"/>
            </w:pPr>
          </w:p>
        </w:tc>
        <w:tc>
          <w:tcPr>
            <w:tcW w:w="236" w:type="dxa"/>
            <w:tcBorders>
              <w:top w:val="nil"/>
              <w:left w:val="nil"/>
              <w:right w:val="nil"/>
            </w:tcBorders>
          </w:tcPr>
          <w:p w14:paraId="2F2636CC" w14:textId="77777777" w:rsidR="00435B5D" w:rsidRDefault="00435B5D" w:rsidP="004F54BD">
            <w:pPr>
              <w:pStyle w:val="Infotext"/>
            </w:pPr>
          </w:p>
        </w:tc>
        <w:tc>
          <w:tcPr>
            <w:tcW w:w="3890" w:type="dxa"/>
            <w:tcBorders>
              <w:top w:val="nil"/>
              <w:left w:val="nil"/>
            </w:tcBorders>
          </w:tcPr>
          <w:p w14:paraId="68110560" w14:textId="77777777" w:rsidR="00435B5D" w:rsidRDefault="00435B5D" w:rsidP="004F54BD">
            <w:pPr>
              <w:pStyle w:val="Infotext"/>
            </w:pPr>
          </w:p>
        </w:tc>
      </w:tr>
    </w:tbl>
    <w:p w14:paraId="04138857" w14:textId="77777777" w:rsidR="00435B5D" w:rsidRDefault="00435B5D" w:rsidP="00333FAA"/>
    <w:p w14:paraId="7C6228F9" w14:textId="77777777" w:rsidR="00435B5D" w:rsidRDefault="00435B5D" w:rsidP="00333FAA"/>
    <w:p w14:paraId="5CCAE193" w14:textId="77777777" w:rsidR="00435B5D" w:rsidRDefault="00435B5D"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385167" w:rsidRPr="00385167" w14:paraId="0D5B70BB" w14:textId="77777777">
        <w:trPr>
          <w:trHeight w:val="965"/>
        </w:trPr>
        <w:tc>
          <w:tcPr>
            <w:tcW w:w="3025" w:type="pct"/>
            <w:tcBorders>
              <w:right w:val="nil"/>
            </w:tcBorders>
          </w:tcPr>
          <w:p w14:paraId="0F26377F" w14:textId="77777777" w:rsidR="00385167" w:rsidRPr="00385167" w:rsidRDefault="00385167" w:rsidP="00A53B04">
            <w:pPr>
              <w:pStyle w:val="Infotext"/>
              <w:rPr>
                <w:rFonts w:ascii="Arial Black" w:hAnsi="Arial Black"/>
              </w:rPr>
            </w:pPr>
          </w:p>
          <w:p w14:paraId="28DFA78E" w14:textId="77777777" w:rsidR="00333FAA" w:rsidRPr="00385167" w:rsidRDefault="00333FAA" w:rsidP="00A53B04">
            <w:pPr>
              <w:pStyle w:val="Infotext"/>
              <w:rPr>
                <w:rFonts w:ascii="Arial Black" w:hAnsi="Arial Black"/>
              </w:rPr>
            </w:pPr>
            <w:r w:rsidRPr="00385167">
              <w:rPr>
                <w:rFonts w:ascii="Arial Black" w:hAnsi="Arial Black"/>
              </w:rPr>
              <w:t>Ward Councillors notified:</w:t>
            </w:r>
          </w:p>
          <w:p w14:paraId="272BC708" w14:textId="77777777" w:rsidR="00333FAA" w:rsidRPr="00385167" w:rsidRDefault="00333FAA" w:rsidP="00A53B04">
            <w:pPr>
              <w:pStyle w:val="Infotext"/>
            </w:pPr>
          </w:p>
        </w:tc>
        <w:tc>
          <w:tcPr>
            <w:tcW w:w="1975" w:type="pct"/>
            <w:tcBorders>
              <w:left w:val="nil"/>
            </w:tcBorders>
          </w:tcPr>
          <w:p w14:paraId="557F4C94" w14:textId="77777777" w:rsidR="00333FAA" w:rsidRPr="00385167" w:rsidRDefault="00333FAA" w:rsidP="00A53B04">
            <w:pPr>
              <w:pStyle w:val="Infotext"/>
            </w:pPr>
          </w:p>
          <w:p w14:paraId="0FA9BF55" w14:textId="5EC38DDD" w:rsidR="00333FAA" w:rsidRPr="00385167" w:rsidRDefault="00333FAA" w:rsidP="00A53B04">
            <w:pPr>
              <w:pStyle w:val="Infotext"/>
              <w:spacing w:before="120"/>
              <w:rPr>
                <w:b/>
              </w:rPr>
            </w:pPr>
            <w:r w:rsidRPr="00385167">
              <w:rPr>
                <w:b/>
              </w:rPr>
              <w:t xml:space="preserve">NO, as it impacts on all Wards </w:t>
            </w:r>
          </w:p>
          <w:p w14:paraId="59397C1E" w14:textId="77777777" w:rsidR="00333FAA" w:rsidRPr="00385167" w:rsidRDefault="00333FAA" w:rsidP="00385167">
            <w:pPr>
              <w:pStyle w:val="Infotext"/>
              <w:rPr>
                <w:i/>
                <w:sz w:val="24"/>
                <w:szCs w:val="24"/>
              </w:rPr>
            </w:pPr>
          </w:p>
        </w:tc>
      </w:tr>
      <w:tr w:rsidR="00385167" w:rsidRPr="00385167" w14:paraId="5ED82C95" w14:textId="77777777">
        <w:trPr>
          <w:trHeight w:val="965"/>
        </w:trPr>
        <w:tc>
          <w:tcPr>
            <w:tcW w:w="3025" w:type="pct"/>
            <w:tcBorders>
              <w:right w:val="nil"/>
            </w:tcBorders>
          </w:tcPr>
          <w:p w14:paraId="080063A5" w14:textId="77777777" w:rsidR="00333FAA" w:rsidRPr="00385167" w:rsidRDefault="00333FAA" w:rsidP="00A53B04">
            <w:pPr>
              <w:pStyle w:val="Infotext"/>
              <w:rPr>
                <w:rFonts w:ascii="Arial Black" w:hAnsi="Arial Black"/>
              </w:rPr>
            </w:pPr>
          </w:p>
          <w:p w14:paraId="11FB5CC7" w14:textId="77777777" w:rsidR="00333FAA" w:rsidRPr="00385167" w:rsidRDefault="00333FAA" w:rsidP="00A53B04">
            <w:pPr>
              <w:pStyle w:val="Infotext"/>
              <w:rPr>
                <w:rFonts w:ascii="Arial Black" w:hAnsi="Arial Black"/>
              </w:rPr>
            </w:pPr>
            <w:r w:rsidRPr="00385167">
              <w:rPr>
                <w:rFonts w:ascii="Arial Black" w:hAnsi="Arial Black"/>
              </w:rPr>
              <w:t>EqIA carried out:</w:t>
            </w:r>
          </w:p>
          <w:p w14:paraId="7322FBBB" w14:textId="77777777" w:rsidR="00333FAA" w:rsidRPr="00385167" w:rsidRDefault="00333FAA" w:rsidP="00A53B04">
            <w:pPr>
              <w:pStyle w:val="Infotext"/>
              <w:rPr>
                <w:rFonts w:ascii="Arial Black" w:hAnsi="Arial Black"/>
              </w:rPr>
            </w:pPr>
          </w:p>
          <w:p w14:paraId="2020330A" w14:textId="77777777" w:rsidR="00333FAA" w:rsidRPr="00385167" w:rsidRDefault="00333FAA" w:rsidP="00A53B04">
            <w:pPr>
              <w:pStyle w:val="Infotext"/>
              <w:rPr>
                <w:rFonts w:ascii="Arial Black" w:hAnsi="Arial Black"/>
              </w:rPr>
            </w:pPr>
            <w:r w:rsidRPr="00385167">
              <w:rPr>
                <w:rFonts w:ascii="Arial Black" w:hAnsi="Arial Black"/>
              </w:rPr>
              <w:t>EqIA cleared by:</w:t>
            </w:r>
          </w:p>
        </w:tc>
        <w:tc>
          <w:tcPr>
            <w:tcW w:w="1975" w:type="pct"/>
            <w:tcBorders>
              <w:left w:val="nil"/>
            </w:tcBorders>
          </w:tcPr>
          <w:p w14:paraId="0E52D516" w14:textId="77777777" w:rsidR="00333FAA" w:rsidRPr="00385167" w:rsidRDefault="00333FAA" w:rsidP="00A53B04">
            <w:pPr>
              <w:pStyle w:val="Infotext"/>
              <w:rPr>
                <w:rFonts w:ascii="Arial Black" w:hAnsi="Arial Black"/>
                <w:b/>
              </w:rPr>
            </w:pPr>
          </w:p>
          <w:p w14:paraId="1AC5674A" w14:textId="0C7FE7D9" w:rsidR="00333FAA" w:rsidRPr="00385167" w:rsidRDefault="00385167" w:rsidP="00A53B04">
            <w:pPr>
              <w:pStyle w:val="Infotext"/>
              <w:rPr>
                <w:b/>
              </w:rPr>
            </w:pPr>
            <w:r w:rsidRPr="00385167">
              <w:rPr>
                <w:b/>
              </w:rPr>
              <w:t>NO</w:t>
            </w:r>
          </w:p>
          <w:p w14:paraId="4B74E73F" w14:textId="13EFA291" w:rsidR="00333FAA" w:rsidRPr="00385167" w:rsidRDefault="00385167" w:rsidP="00A53B04">
            <w:pPr>
              <w:pStyle w:val="Infotext"/>
              <w:rPr>
                <w:sz w:val="24"/>
                <w:szCs w:val="24"/>
              </w:rPr>
            </w:pPr>
            <w:r w:rsidRPr="00385167">
              <w:rPr>
                <w:sz w:val="24"/>
                <w:szCs w:val="24"/>
              </w:rPr>
              <w:t>This report contains no recommendations for changes in service.</w:t>
            </w:r>
          </w:p>
        </w:tc>
      </w:tr>
    </w:tbl>
    <w:p w14:paraId="26334206" w14:textId="77777777" w:rsidR="00333FAA" w:rsidRDefault="00333FAA" w:rsidP="00333FAA"/>
    <w:p w14:paraId="17789741" w14:textId="77777777" w:rsidR="002548D1" w:rsidRDefault="002548D1" w:rsidP="00333FAA"/>
    <w:p w14:paraId="084F5F80" w14:textId="77777777" w:rsidR="00333FAA" w:rsidRDefault="00333FAA" w:rsidP="00333FAA">
      <w:pPr>
        <w:pStyle w:val="Heading1"/>
        <w:keepNext/>
      </w:pPr>
      <w:r>
        <w:t xml:space="preserve">Section </w:t>
      </w:r>
      <w:r w:rsidR="00A20113">
        <w:t>4</w:t>
      </w:r>
      <w:r>
        <w:t xml:space="preserve"> - Contact Details and Background Papers</w:t>
      </w:r>
    </w:p>
    <w:p w14:paraId="680F5E88" w14:textId="77777777" w:rsidR="00333FAA" w:rsidRDefault="00333FAA" w:rsidP="00333FAA">
      <w:pPr>
        <w:keepNext/>
        <w:rPr>
          <w:rFonts w:cs="Arial"/>
        </w:rPr>
      </w:pPr>
    </w:p>
    <w:p w14:paraId="30AA679E" w14:textId="77777777" w:rsidR="00333FAA" w:rsidRDefault="00333FAA" w:rsidP="00333FAA">
      <w:pPr>
        <w:keepNext/>
        <w:rPr>
          <w:rFonts w:cs="Arial"/>
        </w:rPr>
      </w:pPr>
    </w:p>
    <w:p w14:paraId="1455D492" w14:textId="5092E041" w:rsidR="00333FAA" w:rsidRPr="00DE7528" w:rsidRDefault="00333FAA" w:rsidP="00333FAA">
      <w:pPr>
        <w:pStyle w:val="Infotext"/>
      </w:pPr>
      <w:r w:rsidRPr="004E47FC">
        <w:rPr>
          <w:b/>
        </w:rPr>
        <w:t xml:space="preserve">Contact:  </w:t>
      </w:r>
      <w:r w:rsidR="00385167" w:rsidRPr="00A01854">
        <w:t>Martin Randall, Business Intelligence Partner (</w:t>
      </w:r>
      <w:r w:rsidR="00385167">
        <w:t>Corporate</w:t>
      </w:r>
      <w:r w:rsidR="00385167" w:rsidRPr="00A01854">
        <w:t>), Strateg</w:t>
      </w:r>
      <w:r w:rsidR="00385167">
        <w:t>y</w:t>
      </w:r>
      <w:r w:rsidR="00385167" w:rsidRPr="00A01854">
        <w:t xml:space="preserve">, 020 8424 1815, </w:t>
      </w:r>
      <w:r w:rsidR="00385167" w:rsidRPr="00E02AD4">
        <w:t>martin.randall@harrow.gov.uk</w:t>
      </w:r>
    </w:p>
    <w:p w14:paraId="3BC8930C" w14:textId="77777777" w:rsidR="00333FAA" w:rsidRDefault="00333FAA" w:rsidP="00333FAA"/>
    <w:p w14:paraId="18BDFB12" w14:textId="582E7639" w:rsidR="00333FAA" w:rsidRDefault="00333FAA" w:rsidP="00333FAA">
      <w:pPr>
        <w:pStyle w:val="Infotext"/>
        <w:rPr>
          <w:b/>
        </w:rPr>
      </w:pPr>
      <w:r w:rsidRPr="004E47FC">
        <w:rPr>
          <w:b/>
        </w:rPr>
        <w:t xml:space="preserve">Background Papers: </w:t>
      </w:r>
      <w:r w:rsidR="00385167">
        <w:rPr>
          <w:b/>
        </w:rPr>
        <w:t xml:space="preserve"> </w:t>
      </w:r>
      <w:hyperlink r:id="rId15" w:history="1">
        <w:r w:rsidR="00385167" w:rsidRPr="00DE7528">
          <w:rPr>
            <w:rStyle w:val="Hyperlink"/>
          </w:rPr>
          <w:t>Harrow Ambition Plan 2019</w:t>
        </w:r>
      </w:hyperlink>
      <w:r w:rsidR="005808FB">
        <w:rPr>
          <w:b/>
        </w:rPr>
        <w:t xml:space="preserve"> </w:t>
      </w:r>
    </w:p>
    <w:p w14:paraId="4B558E7F" w14:textId="77777777" w:rsidR="00333FAA" w:rsidRDefault="00333FAA" w:rsidP="00333FAA">
      <w:pPr>
        <w:pStyle w:val="Infotext"/>
        <w:rPr>
          <w:b/>
        </w:rPr>
      </w:pPr>
    </w:p>
    <w:p w14:paraId="5423B353" w14:textId="77777777"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8"/>
        <w:gridCol w:w="547"/>
        <w:gridCol w:w="4210"/>
      </w:tblGrid>
      <w:tr w:rsidR="00333FAA" w14:paraId="282617D6" w14:textId="77777777">
        <w:trPr>
          <w:trHeight w:val="965"/>
        </w:trPr>
        <w:tc>
          <w:tcPr>
            <w:tcW w:w="2210" w:type="pct"/>
            <w:tcBorders>
              <w:right w:val="nil"/>
            </w:tcBorders>
          </w:tcPr>
          <w:p w14:paraId="78A353B0" w14:textId="77777777" w:rsidR="00333FAA" w:rsidRDefault="00333FAA" w:rsidP="00A53B04">
            <w:pPr>
              <w:pStyle w:val="Infotext"/>
            </w:pPr>
          </w:p>
          <w:p w14:paraId="2CCE6D4B" w14:textId="77777777"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14:paraId="06438E5F" w14:textId="77777777" w:rsidR="00333FAA" w:rsidRDefault="00333FAA" w:rsidP="00A53B04">
            <w:pPr>
              <w:pStyle w:val="Infotext"/>
            </w:pPr>
          </w:p>
          <w:p w14:paraId="68B987DC" w14:textId="77777777" w:rsidR="00333FAA" w:rsidRPr="003D78F6" w:rsidRDefault="00333FAA" w:rsidP="00A53B04">
            <w:pPr>
              <w:pStyle w:val="Infotext"/>
              <w:rPr>
                <w:i/>
                <w:sz w:val="24"/>
                <w:szCs w:val="24"/>
              </w:rPr>
            </w:pPr>
            <w:r w:rsidRPr="003D78F6">
              <w:rPr>
                <w:i/>
                <w:sz w:val="24"/>
                <w:szCs w:val="24"/>
              </w:rPr>
              <w:lastRenderedPageBreak/>
              <w:t>(for completion by Democratic Services staff only)</w:t>
            </w:r>
          </w:p>
          <w:p w14:paraId="309DE95A" w14:textId="77777777" w:rsidR="00333FAA" w:rsidRDefault="00333FAA" w:rsidP="00A53B04">
            <w:pPr>
              <w:pStyle w:val="Infotext"/>
            </w:pPr>
          </w:p>
        </w:tc>
        <w:tc>
          <w:tcPr>
            <w:tcW w:w="321" w:type="pct"/>
            <w:tcBorders>
              <w:left w:val="nil"/>
              <w:right w:val="nil"/>
            </w:tcBorders>
          </w:tcPr>
          <w:p w14:paraId="350DE0C9" w14:textId="77777777" w:rsidR="00333FAA" w:rsidRDefault="00333FAA" w:rsidP="00A53B04">
            <w:pPr>
              <w:pStyle w:val="Infotext"/>
            </w:pPr>
          </w:p>
        </w:tc>
        <w:tc>
          <w:tcPr>
            <w:tcW w:w="2469" w:type="pct"/>
            <w:tcBorders>
              <w:left w:val="nil"/>
            </w:tcBorders>
          </w:tcPr>
          <w:p w14:paraId="7075569C" w14:textId="77777777" w:rsidR="00333FAA" w:rsidRDefault="00333FAA" w:rsidP="00A53B04">
            <w:pPr>
              <w:pStyle w:val="Infotext"/>
            </w:pPr>
          </w:p>
          <w:p w14:paraId="60888579" w14:textId="77777777" w:rsidR="00333FAA" w:rsidRDefault="00333FAA" w:rsidP="00A53B04">
            <w:pPr>
              <w:pStyle w:val="Infotext"/>
            </w:pPr>
            <w:r w:rsidRPr="003D78F6">
              <w:rPr>
                <w:b/>
              </w:rPr>
              <w:t>YES/ NO / NOT APPLICABLE</w:t>
            </w:r>
            <w:r>
              <w:t>*</w:t>
            </w:r>
          </w:p>
          <w:p w14:paraId="707554E3" w14:textId="77777777" w:rsidR="00333FAA" w:rsidRDefault="00333FAA" w:rsidP="00A53B04">
            <w:pPr>
              <w:pStyle w:val="Infotext"/>
            </w:pPr>
          </w:p>
          <w:p w14:paraId="604671D0" w14:textId="77777777" w:rsidR="00333FAA" w:rsidRDefault="00333FAA" w:rsidP="00A53B04">
            <w:pPr>
              <w:pStyle w:val="Infotext"/>
            </w:pPr>
          </w:p>
          <w:p w14:paraId="0989213E" w14:textId="77777777" w:rsidR="00333FAA" w:rsidRDefault="00333FAA" w:rsidP="00A53B04">
            <w:pPr>
              <w:pStyle w:val="Infotext"/>
            </w:pPr>
          </w:p>
          <w:p w14:paraId="6CCCF17B" w14:textId="77777777" w:rsidR="00333FAA" w:rsidRPr="0017653E" w:rsidRDefault="00333FAA" w:rsidP="00A53B04">
            <w:pPr>
              <w:pStyle w:val="Infotext"/>
              <w:rPr>
                <w:i/>
                <w:color w:val="FF0000"/>
                <w:sz w:val="24"/>
                <w:szCs w:val="24"/>
              </w:rPr>
            </w:pPr>
            <w:r w:rsidRPr="0017653E">
              <w:rPr>
                <w:i/>
                <w:color w:val="FF0000"/>
                <w:sz w:val="24"/>
                <w:szCs w:val="24"/>
              </w:rPr>
              <w:t>*  Delete as appropriate</w:t>
            </w:r>
          </w:p>
          <w:p w14:paraId="0D58F11A" w14:textId="77777777" w:rsidR="0017653E" w:rsidRPr="0017653E" w:rsidRDefault="00333FAA" w:rsidP="0017653E">
            <w:pPr>
              <w:pStyle w:val="Infotext"/>
              <w:ind w:left="173"/>
              <w:rPr>
                <w:rFonts w:cs="Arial"/>
                <w:i/>
                <w:sz w:val="24"/>
                <w:szCs w:val="24"/>
                <w:lang w:eastAsia="en-GB"/>
              </w:rPr>
            </w:pPr>
            <w:r w:rsidRPr="0017653E">
              <w:rPr>
                <w:rFonts w:cs="Arial"/>
                <w:i/>
                <w:color w:val="FF0000"/>
                <w:sz w:val="24"/>
                <w:szCs w:val="24"/>
              </w:rPr>
              <w:lastRenderedPageBreak/>
              <w:t>I</w:t>
            </w:r>
            <w:r w:rsidR="0017653E" w:rsidRPr="0017653E">
              <w:rPr>
                <w:rFonts w:cs="Arial"/>
                <w:i/>
                <w:color w:val="FF0000"/>
                <w:sz w:val="24"/>
                <w:szCs w:val="24"/>
                <w:lang w:eastAsia="en-GB"/>
              </w:rPr>
              <w:t>f Yes</w:t>
            </w:r>
            <w:r w:rsidRPr="0017653E">
              <w:rPr>
                <w:rFonts w:cs="Arial"/>
                <w:i/>
                <w:color w:val="FF0000"/>
                <w:sz w:val="24"/>
                <w:szCs w:val="24"/>
                <w:lang w:eastAsia="en-GB"/>
              </w:rPr>
              <w:t>, set out why the decision is urgent with reference to 4b - Rule 47 of the Constitution.</w:t>
            </w:r>
          </w:p>
        </w:tc>
      </w:tr>
    </w:tbl>
    <w:p w14:paraId="586D38B8" w14:textId="77777777" w:rsidR="000D4E36" w:rsidRPr="00DE71D3" w:rsidRDefault="000D4E36" w:rsidP="001614E0"/>
    <w:sectPr w:rsidR="000D4E36" w:rsidRPr="00DE71D3" w:rsidSect="001614E0">
      <w:headerReference w:type="default" r:id="rId16"/>
      <w:headerReference w:type="first" r:id="rId17"/>
      <w:footerReference w:type="first" r:id="rId18"/>
      <w:pgSz w:w="11909" w:h="16834" w:code="9"/>
      <w:pgMar w:top="72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5FF00" w14:textId="77777777" w:rsidR="001420FC" w:rsidRDefault="001420FC">
      <w:r>
        <w:separator/>
      </w:r>
    </w:p>
  </w:endnote>
  <w:endnote w:type="continuationSeparator" w:id="0">
    <w:p w14:paraId="5B50818B" w14:textId="77777777" w:rsidR="001420FC" w:rsidRDefault="0014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CFB4" w14:textId="77777777" w:rsidR="00952CEF" w:rsidRPr="004F56C5" w:rsidRDefault="00952CEF" w:rsidP="004F56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1B7A5" w14:textId="77777777" w:rsidR="001420FC" w:rsidRDefault="001420FC">
      <w:r>
        <w:separator/>
      </w:r>
    </w:p>
  </w:footnote>
  <w:footnote w:type="continuationSeparator" w:id="0">
    <w:p w14:paraId="2807CEAF" w14:textId="77777777" w:rsidR="001420FC" w:rsidRDefault="00142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15AD0" w14:textId="77777777" w:rsidR="00952CEF" w:rsidRDefault="00952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7A98A" w14:textId="77777777" w:rsidR="00952CEF" w:rsidRDefault="00952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AB165F"/>
    <w:multiLevelType w:val="hybridMultilevel"/>
    <w:tmpl w:val="DB40A302"/>
    <w:lvl w:ilvl="0" w:tplc="04090001">
      <w:start w:val="1"/>
      <w:numFmt w:val="bullet"/>
      <w:lvlText w:val=""/>
      <w:lvlJc w:val="left"/>
      <w:pPr>
        <w:tabs>
          <w:tab w:val="num" w:pos="720"/>
        </w:tabs>
        <w:ind w:left="720" w:hanging="360"/>
      </w:pPr>
      <w:rPr>
        <w:rFonts w:ascii="Symbol" w:hAnsi="Symbol" w:hint="default"/>
      </w:rPr>
    </w:lvl>
    <w:lvl w:ilvl="1" w:tplc="CCA20D8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56357"/>
    <w:multiLevelType w:val="multilevel"/>
    <w:tmpl w:val="884418E6"/>
    <w:lvl w:ilvl="0">
      <w:start w:val="1"/>
      <w:numFmt w:val="bullet"/>
      <w:lvlText w:val="-"/>
      <w:lvlJc w:val="left"/>
      <w:pPr>
        <w:tabs>
          <w:tab w:val="num" w:pos="1080"/>
        </w:tabs>
        <w:ind w:left="1080" w:hanging="360"/>
      </w:pPr>
      <w:rPr>
        <w:rFonts w:ascii="Arial" w:hAnsi="Aria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F3B1D"/>
    <w:multiLevelType w:val="multilevel"/>
    <w:tmpl w:val="FAFC50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16CD7165"/>
    <w:multiLevelType w:val="hybridMultilevel"/>
    <w:tmpl w:val="B37E7CEA"/>
    <w:lvl w:ilvl="0" w:tplc="29203C72">
      <w:start w:val="1"/>
      <w:numFmt w:val="lowerLetter"/>
      <w:lvlText w:val="%1."/>
      <w:lvlJc w:val="left"/>
      <w:pPr>
        <w:tabs>
          <w:tab w:val="num" w:pos="720"/>
        </w:tabs>
        <w:ind w:left="720" w:hanging="720"/>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7363EA"/>
    <w:multiLevelType w:val="multilevel"/>
    <w:tmpl w:val="F47A887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CD22A1"/>
    <w:multiLevelType w:val="hybridMultilevel"/>
    <w:tmpl w:val="818E94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683402"/>
    <w:multiLevelType w:val="hybridMultilevel"/>
    <w:tmpl w:val="D6AA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174F0C"/>
    <w:multiLevelType w:val="hybridMultilevel"/>
    <w:tmpl w:val="9260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25749"/>
    <w:multiLevelType w:val="hybridMultilevel"/>
    <w:tmpl w:val="CB4C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0142D9"/>
    <w:multiLevelType w:val="hybridMultilevel"/>
    <w:tmpl w:val="9FBA1538"/>
    <w:lvl w:ilvl="0" w:tplc="A240E190">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91E4C"/>
    <w:multiLevelType w:val="hybridMultilevel"/>
    <w:tmpl w:val="15D00DEC"/>
    <w:lvl w:ilvl="0" w:tplc="3EEA1D32">
      <w:numFmt w:val="bullet"/>
      <w:lvlText w:val=""/>
      <w:lvlJc w:val="left"/>
      <w:pPr>
        <w:tabs>
          <w:tab w:val="num" w:pos="-31680"/>
        </w:tabs>
        <w:ind w:left="72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A95E8D"/>
    <w:multiLevelType w:val="hybridMultilevel"/>
    <w:tmpl w:val="29282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15666A0"/>
    <w:multiLevelType w:val="hybridMultilevel"/>
    <w:tmpl w:val="B0F2CDCC"/>
    <w:lvl w:ilvl="0" w:tplc="04090001">
      <w:start w:val="1"/>
      <w:numFmt w:val="bullet"/>
      <w:lvlText w:val=""/>
      <w:lvlJc w:val="left"/>
      <w:pPr>
        <w:tabs>
          <w:tab w:val="num" w:pos="720"/>
        </w:tabs>
        <w:ind w:left="720" w:hanging="360"/>
      </w:pPr>
      <w:rPr>
        <w:rFonts w:ascii="Symbol" w:hAnsi="Symbol" w:hint="default"/>
      </w:rPr>
    </w:lvl>
    <w:lvl w:ilvl="1" w:tplc="04322C9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6848A1"/>
    <w:multiLevelType w:val="hybridMultilevel"/>
    <w:tmpl w:val="2B780FBC"/>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CCC2CAF"/>
    <w:multiLevelType w:val="multilevel"/>
    <w:tmpl w:val="F4DE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nsid w:val="4086076C"/>
    <w:multiLevelType w:val="hybridMultilevel"/>
    <w:tmpl w:val="CD724460"/>
    <w:lvl w:ilvl="0" w:tplc="04090001">
      <w:start w:val="1"/>
      <w:numFmt w:val="bullet"/>
      <w:lvlText w:val=""/>
      <w:lvlJc w:val="left"/>
      <w:pPr>
        <w:tabs>
          <w:tab w:val="num" w:pos="720"/>
        </w:tabs>
        <w:ind w:left="720" w:hanging="360"/>
      </w:pPr>
      <w:rPr>
        <w:rFonts w:ascii="Symbol" w:hAnsi="Symbol" w:hint="default"/>
      </w:rPr>
    </w:lvl>
    <w:lvl w:ilvl="1" w:tplc="09123418">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9D1589"/>
    <w:multiLevelType w:val="hybridMultilevel"/>
    <w:tmpl w:val="D688C8DE"/>
    <w:lvl w:ilvl="0" w:tplc="04090001">
      <w:start w:val="1"/>
      <w:numFmt w:val="bullet"/>
      <w:lvlText w:val=""/>
      <w:lvlJc w:val="left"/>
      <w:pPr>
        <w:tabs>
          <w:tab w:val="num" w:pos="720"/>
        </w:tabs>
        <w:ind w:left="720" w:hanging="360"/>
      </w:pPr>
      <w:rPr>
        <w:rFonts w:ascii="Symbol" w:hAnsi="Symbol" w:hint="default"/>
      </w:rPr>
    </w:lvl>
    <w:lvl w:ilvl="1" w:tplc="5C9A0866">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A75CD0"/>
    <w:multiLevelType w:val="hybridMultilevel"/>
    <w:tmpl w:val="BAC4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FF2385"/>
    <w:multiLevelType w:val="multilevel"/>
    <w:tmpl w:val="D72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C2642A"/>
    <w:multiLevelType w:val="hybridMultilevel"/>
    <w:tmpl w:val="0CEE805C"/>
    <w:lvl w:ilvl="0" w:tplc="B1FA54C8">
      <w:start w:val="1"/>
      <w:numFmt w:val="lowerLetter"/>
      <w:lvlText w:val="%1."/>
      <w:lvlJc w:val="left"/>
      <w:pPr>
        <w:tabs>
          <w:tab w:val="num" w:pos="1095"/>
        </w:tabs>
        <w:ind w:left="1095" w:hanging="735"/>
      </w:pPr>
      <w:rPr>
        <w:rFonts w:ascii="Arial" w:hAnsi="Arial" w:cs="Arial"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5FD5009"/>
    <w:multiLevelType w:val="hybridMultilevel"/>
    <w:tmpl w:val="4AE472E2"/>
    <w:lvl w:ilvl="0" w:tplc="53AA2584">
      <w:start w:val="1"/>
      <w:numFmt w:val="bullet"/>
      <w:lvlText w:val=""/>
      <w:lvlJc w:val="left"/>
      <w:pPr>
        <w:tabs>
          <w:tab w:val="num" w:pos="360"/>
        </w:tabs>
        <w:ind w:left="360" w:hanging="360"/>
      </w:pPr>
      <w:rPr>
        <w:rFonts w:ascii="Wingdings" w:hAnsi="Wingdings" w:hint="default"/>
        <w:color w:val="3E007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3D7533"/>
    <w:multiLevelType w:val="hybridMultilevel"/>
    <w:tmpl w:val="9034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132222C"/>
    <w:multiLevelType w:val="hybridMultilevel"/>
    <w:tmpl w:val="3E6C2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922C1B"/>
    <w:multiLevelType w:val="hybridMultilevel"/>
    <w:tmpl w:val="6A5A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9378B3"/>
    <w:multiLevelType w:val="multilevel"/>
    <w:tmpl w:val="29282C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C172940"/>
    <w:multiLevelType w:val="hybridMultilevel"/>
    <w:tmpl w:val="598C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1A65E4"/>
    <w:multiLevelType w:val="hybridMultilevel"/>
    <w:tmpl w:val="3B6E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322F4B"/>
    <w:multiLevelType w:val="hybridMultilevel"/>
    <w:tmpl w:val="0986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920F61"/>
    <w:multiLevelType w:val="hybridMultilevel"/>
    <w:tmpl w:val="75362D52"/>
    <w:lvl w:ilvl="0" w:tplc="04090001">
      <w:start w:val="1"/>
      <w:numFmt w:val="bullet"/>
      <w:lvlText w:val=""/>
      <w:lvlJc w:val="left"/>
      <w:pPr>
        <w:tabs>
          <w:tab w:val="num" w:pos="720"/>
        </w:tabs>
        <w:ind w:left="720" w:hanging="360"/>
      </w:pPr>
      <w:rPr>
        <w:rFonts w:ascii="Symbol" w:hAnsi="Symbol" w:hint="default"/>
      </w:rPr>
    </w:lvl>
    <w:lvl w:ilvl="1" w:tplc="6C1270D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nsid w:val="70537AF9"/>
    <w:multiLevelType w:val="hybridMultilevel"/>
    <w:tmpl w:val="FAFC5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3AC4EDA"/>
    <w:multiLevelType w:val="hybridMultilevel"/>
    <w:tmpl w:val="8012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533014"/>
    <w:multiLevelType w:val="hybridMultilevel"/>
    <w:tmpl w:val="66622AC6"/>
    <w:lvl w:ilvl="0" w:tplc="04090001">
      <w:start w:val="1"/>
      <w:numFmt w:val="bullet"/>
      <w:lvlText w:val=""/>
      <w:lvlJc w:val="left"/>
      <w:pPr>
        <w:tabs>
          <w:tab w:val="num" w:pos="720"/>
        </w:tabs>
        <w:ind w:left="720" w:hanging="360"/>
      </w:pPr>
      <w:rPr>
        <w:rFonts w:ascii="Symbol" w:hAnsi="Symbol" w:hint="default"/>
      </w:rPr>
    </w:lvl>
    <w:lvl w:ilvl="1" w:tplc="C5526EF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707DB5"/>
    <w:multiLevelType w:val="hybridMultilevel"/>
    <w:tmpl w:val="DC30D536"/>
    <w:lvl w:ilvl="0" w:tplc="E5BA9022">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8E2EB1"/>
    <w:multiLevelType w:val="hybridMultilevel"/>
    <w:tmpl w:val="E048BE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41"/>
  </w:num>
  <w:num w:numId="3">
    <w:abstractNumId w:val="16"/>
  </w:num>
  <w:num w:numId="4">
    <w:abstractNumId w:val="44"/>
  </w:num>
  <w:num w:numId="5">
    <w:abstractNumId w:val="40"/>
  </w:num>
  <w:num w:numId="6">
    <w:abstractNumId w:val="18"/>
  </w:num>
  <w:num w:numId="7">
    <w:abstractNumId w:val="1"/>
  </w:num>
  <w:num w:numId="8">
    <w:abstractNumId w:val="24"/>
  </w:num>
  <w:num w:numId="9">
    <w:abstractNumId w:val="25"/>
  </w:num>
  <w:num w:numId="10">
    <w:abstractNumId w:val="43"/>
  </w:num>
  <w:num w:numId="11">
    <w:abstractNumId w:val="13"/>
  </w:num>
  <w:num w:numId="12">
    <w:abstractNumId w:val="22"/>
  </w:num>
  <w:num w:numId="13">
    <w:abstractNumId w:val="23"/>
  </w:num>
  <w:num w:numId="14">
    <w:abstractNumId w:val="14"/>
  </w:num>
  <w:num w:numId="15">
    <w:abstractNumId w:val="32"/>
  </w:num>
  <w:num w:numId="16">
    <w:abstractNumId w:val="17"/>
  </w:num>
  <w:num w:numId="17">
    <w:abstractNumId w:val="35"/>
  </w:num>
  <w:num w:numId="18">
    <w:abstractNumId w:val="20"/>
  </w:num>
  <w:num w:numId="19">
    <w:abstractNumId w:val="42"/>
  </w:num>
  <w:num w:numId="20">
    <w:abstractNumId w:val="5"/>
  </w:num>
  <w:num w:numId="21">
    <w:abstractNumId w:val="0"/>
  </w:num>
  <w:num w:numId="22">
    <w:abstractNumId w:val="6"/>
  </w:num>
  <w:num w:numId="23">
    <w:abstractNumId w:val="28"/>
  </w:num>
  <w:num w:numId="24">
    <w:abstractNumId w:val="8"/>
  </w:num>
  <w:num w:numId="25">
    <w:abstractNumId w:val="26"/>
  </w:num>
  <w:num w:numId="26">
    <w:abstractNumId w:val="29"/>
  </w:num>
  <w:num w:numId="27">
    <w:abstractNumId w:val="30"/>
  </w:num>
  <w:num w:numId="28">
    <w:abstractNumId w:val="12"/>
  </w:num>
  <w:num w:numId="29">
    <w:abstractNumId w:val="39"/>
  </w:num>
  <w:num w:numId="30">
    <w:abstractNumId w:val="11"/>
  </w:num>
  <w:num w:numId="31">
    <w:abstractNumId w:val="31"/>
  </w:num>
  <w:num w:numId="32">
    <w:abstractNumId w:val="34"/>
  </w:num>
  <w:num w:numId="33">
    <w:abstractNumId w:val="36"/>
  </w:num>
  <w:num w:numId="34">
    <w:abstractNumId w:val="10"/>
  </w:num>
  <w:num w:numId="35">
    <w:abstractNumId w:val="27"/>
  </w:num>
  <w:num w:numId="36">
    <w:abstractNumId w:val="3"/>
  </w:num>
  <w:num w:numId="37">
    <w:abstractNumId w:val="21"/>
  </w:num>
  <w:num w:numId="38">
    <w:abstractNumId w:val="45"/>
  </w:num>
  <w:num w:numId="39">
    <w:abstractNumId w:val="7"/>
  </w:num>
  <w:num w:numId="40">
    <w:abstractNumId w:val="4"/>
  </w:num>
  <w:num w:numId="41">
    <w:abstractNumId w:val="38"/>
  </w:num>
  <w:num w:numId="42">
    <w:abstractNumId w:val="46"/>
  </w:num>
  <w:num w:numId="43">
    <w:abstractNumId w:val="33"/>
  </w:num>
  <w:num w:numId="44">
    <w:abstractNumId w:val="2"/>
  </w:num>
  <w:num w:numId="45">
    <w:abstractNumId w:val="15"/>
  </w:num>
  <w:num w:numId="46">
    <w:abstractNumId w:val="47"/>
  </w:num>
  <w:num w:numId="47">
    <w:abstractNumId w:val="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AA"/>
    <w:rsid w:val="0000089B"/>
    <w:rsid w:val="000065B5"/>
    <w:rsid w:val="0004029A"/>
    <w:rsid w:val="0006034E"/>
    <w:rsid w:val="00063783"/>
    <w:rsid w:val="00071B6E"/>
    <w:rsid w:val="00073765"/>
    <w:rsid w:val="000929A6"/>
    <w:rsid w:val="000B5015"/>
    <w:rsid w:val="000B788F"/>
    <w:rsid w:val="000D4E36"/>
    <w:rsid w:val="000E2CE0"/>
    <w:rsid w:val="000E62FE"/>
    <w:rsid w:val="001161E4"/>
    <w:rsid w:val="00125A26"/>
    <w:rsid w:val="0012663B"/>
    <w:rsid w:val="001420FC"/>
    <w:rsid w:val="0015376F"/>
    <w:rsid w:val="001614E0"/>
    <w:rsid w:val="00171BD8"/>
    <w:rsid w:val="0017653E"/>
    <w:rsid w:val="00182B01"/>
    <w:rsid w:val="001840D2"/>
    <w:rsid w:val="001966D7"/>
    <w:rsid w:val="001C4D2E"/>
    <w:rsid w:val="001C7E35"/>
    <w:rsid w:val="001E0909"/>
    <w:rsid w:val="001E3C06"/>
    <w:rsid w:val="001F0037"/>
    <w:rsid w:val="001F0BE9"/>
    <w:rsid w:val="00202D79"/>
    <w:rsid w:val="00205D2F"/>
    <w:rsid w:val="00215E8F"/>
    <w:rsid w:val="002322BB"/>
    <w:rsid w:val="00251254"/>
    <w:rsid w:val="002548D1"/>
    <w:rsid w:val="0027283B"/>
    <w:rsid w:val="0028019B"/>
    <w:rsid w:val="00283CAB"/>
    <w:rsid w:val="002A3FEF"/>
    <w:rsid w:val="002B54A6"/>
    <w:rsid w:val="002F3EE9"/>
    <w:rsid w:val="00307F76"/>
    <w:rsid w:val="00321FBB"/>
    <w:rsid w:val="00333FAA"/>
    <w:rsid w:val="003355D7"/>
    <w:rsid w:val="0036201C"/>
    <w:rsid w:val="00376768"/>
    <w:rsid w:val="00385167"/>
    <w:rsid w:val="0039768A"/>
    <w:rsid w:val="003B0535"/>
    <w:rsid w:val="003E07E6"/>
    <w:rsid w:val="003F3AFD"/>
    <w:rsid w:val="004076C8"/>
    <w:rsid w:val="004207E3"/>
    <w:rsid w:val="00421A4C"/>
    <w:rsid w:val="004238C2"/>
    <w:rsid w:val="00435B5D"/>
    <w:rsid w:val="004363F7"/>
    <w:rsid w:val="0044525C"/>
    <w:rsid w:val="004553F1"/>
    <w:rsid w:val="00471C1F"/>
    <w:rsid w:val="004809FA"/>
    <w:rsid w:val="004C4A75"/>
    <w:rsid w:val="004D2DA0"/>
    <w:rsid w:val="004E14A4"/>
    <w:rsid w:val="004F54BD"/>
    <w:rsid w:val="004F56C5"/>
    <w:rsid w:val="00512537"/>
    <w:rsid w:val="005354D0"/>
    <w:rsid w:val="0054172C"/>
    <w:rsid w:val="0054590F"/>
    <w:rsid w:val="005459EC"/>
    <w:rsid w:val="00556A59"/>
    <w:rsid w:val="005718B5"/>
    <w:rsid w:val="005808FB"/>
    <w:rsid w:val="00582605"/>
    <w:rsid w:val="00591016"/>
    <w:rsid w:val="005B3F67"/>
    <w:rsid w:val="005D548F"/>
    <w:rsid w:val="005D6EF5"/>
    <w:rsid w:val="005E3A10"/>
    <w:rsid w:val="005E7509"/>
    <w:rsid w:val="00645B8B"/>
    <w:rsid w:val="00655044"/>
    <w:rsid w:val="00657B57"/>
    <w:rsid w:val="00666922"/>
    <w:rsid w:val="00670F17"/>
    <w:rsid w:val="006710C7"/>
    <w:rsid w:val="00696A83"/>
    <w:rsid w:val="006C580A"/>
    <w:rsid w:val="006D1E69"/>
    <w:rsid w:val="006E0261"/>
    <w:rsid w:val="006F057C"/>
    <w:rsid w:val="006F22DA"/>
    <w:rsid w:val="006F2EB3"/>
    <w:rsid w:val="007116B1"/>
    <w:rsid w:val="00714BEE"/>
    <w:rsid w:val="00721215"/>
    <w:rsid w:val="007400CF"/>
    <w:rsid w:val="00760264"/>
    <w:rsid w:val="00785629"/>
    <w:rsid w:val="007B23FC"/>
    <w:rsid w:val="007C747B"/>
    <w:rsid w:val="007D0C1D"/>
    <w:rsid w:val="007D4DBF"/>
    <w:rsid w:val="007E4732"/>
    <w:rsid w:val="007E4BA4"/>
    <w:rsid w:val="007F004E"/>
    <w:rsid w:val="007F335A"/>
    <w:rsid w:val="00801BDD"/>
    <w:rsid w:val="00803104"/>
    <w:rsid w:val="00812901"/>
    <w:rsid w:val="00826B9A"/>
    <w:rsid w:val="0085266D"/>
    <w:rsid w:val="008642B9"/>
    <w:rsid w:val="008A5AA0"/>
    <w:rsid w:val="008D5AFD"/>
    <w:rsid w:val="008E224D"/>
    <w:rsid w:val="0092530B"/>
    <w:rsid w:val="00935A48"/>
    <w:rsid w:val="0094208C"/>
    <w:rsid w:val="00942F17"/>
    <w:rsid w:val="00952CEF"/>
    <w:rsid w:val="00955421"/>
    <w:rsid w:val="00990E9C"/>
    <w:rsid w:val="00994542"/>
    <w:rsid w:val="00994908"/>
    <w:rsid w:val="009B160B"/>
    <w:rsid w:val="009C237B"/>
    <w:rsid w:val="009C5F6F"/>
    <w:rsid w:val="009E1E62"/>
    <w:rsid w:val="009E5A93"/>
    <w:rsid w:val="009F3C6F"/>
    <w:rsid w:val="00A20113"/>
    <w:rsid w:val="00A20D78"/>
    <w:rsid w:val="00A2215F"/>
    <w:rsid w:val="00A22839"/>
    <w:rsid w:val="00A23E19"/>
    <w:rsid w:val="00A33185"/>
    <w:rsid w:val="00A336B9"/>
    <w:rsid w:val="00A53B04"/>
    <w:rsid w:val="00A661F4"/>
    <w:rsid w:val="00A7271A"/>
    <w:rsid w:val="00A80DBC"/>
    <w:rsid w:val="00A81E19"/>
    <w:rsid w:val="00AB46AE"/>
    <w:rsid w:val="00AB795F"/>
    <w:rsid w:val="00AC6312"/>
    <w:rsid w:val="00AD6D80"/>
    <w:rsid w:val="00AD7181"/>
    <w:rsid w:val="00B1160D"/>
    <w:rsid w:val="00B444E6"/>
    <w:rsid w:val="00B52011"/>
    <w:rsid w:val="00B53EFF"/>
    <w:rsid w:val="00B54AFA"/>
    <w:rsid w:val="00B671A4"/>
    <w:rsid w:val="00B804E8"/>
    <w:rsid w:val="00B8259B"/>
    <w:rsid w:val="00BB4471"/>
    <w:rsid w:val="00BC206C"/>
    <w:rsid w:val="00BC431A"/>
    <w:rsid w:val="00BE48CC"/>
    <w:rsid w:val="00C01A35"/>
    <w:rsid w:val="00C03772"/>
    <w:rsid w:val="00C04EDA"/>
    <w:rsid w:val="00C119A2"/>
    <w:rsid w:val="00C57267"/>
    <w:rsid w:val="00C62B63"/>
    <w:rsid w:val="00C72B5B"/>
    <w:rsid w:val="00CD7D5D"/>
    <w:rsid w:val="00CF0FC4"/>
    <w:rsid w:val="00CF6932"/>
    <w:rsid w:val="00D01FE3"/>
    <w:rsid w:val="00D04F65"/>
    <w:rsid w:val="00D06CA3"/>
    <w:rsid w:val="00D07F46"/>
    <w:rsid w:val="00D170E5"/>
    <w:rsid w:val="00D36E84"/>
    <w:rsid w:val="00D37F2F"/>
    <w:rsid w:val="00D415B9"/>
    <w:rsid w:val="00D528E8"/>
    <w:rsid w:val="00D771D0"/>
    <w:rsid w:val="00D835CF"/>
    <w:rsid w:val="00DA26FB"/>
    <w:rsid w:val="00DB6C3D"/>
    <w:rsid w:val="00DC5ACF"/>
    <w:rsid w:val="00DC6AC5"/>
    <w:rsid w:val="00DD7468"/>
    <w:rsid w:val="00DE25E9"/>
    <w:rsid w:val="00DE71D3"/>
    <w:rsid w:val="00DE72CF"/>
    <w:rsid w:val="00DE7528"/>
    <w:rsid w:val="00DF08A0"/>
    <w:rsid w:val="00E13A81"/>
    <w:rsid w:val="00E14E3F"/>
    <w:rsid w:val="00E3420A"/>
    <w:rsid w:val="00E42860"/>
    <w:rsid w:val="00E70760"/>
    <w:rsid w:val="00E75091"/>
    <w:rsid w:val="00E9253C"/>
    <w:rsid w:val="00EB45B5"/>
    <w:rsid w:val="00EB5E57"/>
    <w:rsid w:val="00EB61DB"/>
    <w:rsid w:val="00ED4AFD"/>
    <w:rsid w:val="00EE4FBE"/>
    <w:rsid w:val="00F5649A"/>
    <w:rsid w:val="00F67DC5"/>
    <w:rsid w:val="00F74FAB"/>
    <w:rsid w:val="00F82342"/>
    <w:rsid w:val="00F877DB"/>
    <w:rsid w:val="00F91AE4"/>
    <w:rsid w:val="00F93C8B"/>
    <w:rsid w:val="00F959DD"/>
    <w:rsid w:val="00F960D5"/>
    <w:rsid w:val="00FB1231"/>
    <w:rsid w:val="00FC1C5C"/>
    <w:rsid w:val="00FC65D0"/>
    <w:rsid w:val="00FE17E2"/>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37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4Char">
    <w:name w:val="Heading 4 Char"/>
    <w:link w:val="Heading4"/>
    <w:rsid w:val="00D04F65"/>
    <w:rPr>
      <w:rFonts w:ascii="Arial" w:hAnsi="Arial" w:cs="Arial"/>
      <w:b/>
      <w:sz w:val="24"/>
      <w:lang w:eastAsia="en-US"/>
    </w:rPr>
  </w:style>
  <w:style w:type="character" w:customStyle="1" w:styleId="Heading2Char">
    <w:name w:val="Heading 2 Char"/>
    <w:link w:val="Heading2"/>
    <w:rsid w:val="00D04F65"/>
    <w:rPr>
      <w:rFonts w:ascii="Arial" w:hAnsi="Arial" w:cs="Arial"/>
      <w:b/>
      <w:bCs/>
      <w:sz w:val="28"/>
      <w:szCs w:val="32"/>
      <w:lang w:eastAsia="en-US"/>
    </w:rPr>
  </w:style>
  <w:style w:type="paragraph" w:styleId="BalloonText">
    <w:name w:val="Balloon Text"/>
    <w:basedOn w:val="Normal"/>
    <w:link w:val="BalloonTextChar"/>
    <w:rsid w:val="00A80DBC"/>
    <w:rPr>
      <w:rFonts w:ascii="Tahoma" w:hAnsi="Tahoma" w:cs="Tahoma"/>
      <w:sz w:val="16"/>
      <w:szCs w:val="16"/>
    </w:rPr>
  </w:style>
  <w:style w:type="character" w:customStyle="1" w:styleId="BalloonTextChar">
    <w:name w:val="Balloon Text Char"/>
    <w:link w:val="BalloonText"/>
    <w:rsid w:val="00A80DBC"/>
    <w:rPr>
      <w:rFonts w:ascii="Tahoma" w:hAnsi="Tahoma" w:cs="Tahoma"/>
      <w:sz w:val="16"/>
      <w:szCs w:val="16"/>
      <w:lang w:eastAsia="en-US"/>
    </w:rPr>
  </w:style>
  <w:style w:type="character" w:styleId="CommentReference">
    <w:name w:val="annotation reference"/>
    <w:rsid w:val="007C747B"/>
    <w:rPr>
      <w:sz w:val="16"/>
      <w:szCs w:val="16"/>
    </w:rPr>
  </w:style>
  <w:style w:type="paragraph" w:styleId="CommentText">
    <w:name w:val="annotation text"/>
    <w:basedOn w:val="Normal"/>
    <w:link w:val="CommentTextChar"/>
    <w:rsid w:val="007C747B"/>
    <w:rPr>
      <w:sz w:val="20"/>
    </w:rPr>
  </w:style>
  <w:style w:type="character" w:customStyle="1" w:styleId="CommentTextChar">
    <w:name w:val="Comment Text Char"/>
    <w:link w:val="CommentText"/>
    <w:rsid w:val="007C747B"/>
    <w:rPr>
      <w:rFonts w:ascii="Arial" w:hAnsi="Arial"/>
      <w:lang w:eastAsia="en-US"/>
    </w:rPr>
  </w:style>
  <w:style w:type="paragraph" w:styleId="CommentSubject">
    <w:name w:val="annotation subject"/>
    <w:basedOn w:val="CommentText"/>
    <w:next w:val="CommentText"/>
    <w:link w:val="CommentSubjectChar"/>
    <w:rsid w:val="007C747B"/>
    <w:rPr>
      <w:b/>
      <w:bCs/>
    </w:rPr>
  </w:style>
  <w:style w:type="character" w:customStyle="1" w:styleId="CommentSubjectChar">
    <w:name w:val="Comment Subject Char"/>
    <w:link w:val="CommentSubject"/>
    <w:rsid w:val="007C747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link w:val="Heading2Char"/>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link w:val="Heading4Char"/>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uiPriority w:val="34"/>
    <w:qFormat/>
    <w:rsid w:val="00E70760"/>
    <w:pPr>
      <w:ind w:left="720"/>
    </w:pPr>
  </w:style>
  <w:style w:type="character" w:styleId="FollowedHyperlink">
    <w:name w:val="FollowedHyperlink"/>
    <w:rsid w:val="00C03772"/>
    <w:rPr>
      <w:color w:val="800080"/>
      <w:u w:val="single"/>
    </w:rPr>
  </w:style>
  <w:style w:type="character" w:customStyle="1" w:styleId="Heading4Char">
    <w:name w:val="Heading 4 Char"/>
    <w:link w:val="Heading4"/>
    <w:rsid w:val="00D04F65"/>
    <w:rPr>
      <w:rFonts w:ascii="Arial" w:hAnsi="Arial" w:cs="Arial"/>
      <w:b/>
      <w:sz w:val="24"/>
      <w:lang w:eastAsia="en-US"/>
    </w:rPr>
  </w:style>
  <w:style w:type="character" w:customStyle="1" w:styleId="Heading2Char">
    <w:name w:val="Heading 2 Char"/>
    <w:link w:val="Heading2"/>
    <w:rsid w:val="00D04F65"/>
    <w:rPr>
      <w:rFonts w:ascii="Arial" w:hAnsi="Arial" w:cs="Arial"/>
      <w:b/>
      <w:bCs/>
      <w:sz w:val="28"/>
      <w:szCs w:val="32"/>
      <w:lang w:eastAsia="en-US"/>
    </w:rPr>
  </w:style>
  <w:style w:type="paragraph" w:styleId="BalloonText">
    <w:name w:val="Balloon Text"/>
    <w:basedOn w:val="Normal"/>
    <w:link w:val="BalloonTextChar"/>
    <w:rsid w:val="00A80DBC"/>
    <w:rPr>
      <w:rFonts w:ascii="Tahoma" w:hAnsi="Tahoma" w:cs="Tahoma"/>
      <w:sz w:val="16"/>
      <w:szCs w:val="16"/>
    </w:rPr>
  </w:style>
  <w:style w:type="character" w:customStyle="1" w:styleId="BalloonTextChar">
    <w:name w:val="Balloon Text Char"/>
    <w:link w:val="BalloonText"/>
    <w:rsid w:val="00A80DBC"/>
    <w:rPr>
      <w:rFonts w:ascii="Tahoma" w:hAnsi="Tahoma" w:cs="Tahoma"/>
      <w:sz w:val="16"/>
      <w:szCs w:val="16"/>
      <w:lang w:eastAsia="en-US"/>
    </w:rPr>
  </w:style>
  <w:style w:type="character" w:styleId="CommentReference">
    <w:name w:val="annotation reference"/>
    <w:rsid w:val="007C747B"/>
    <w:rPr>
      <w:sz w:val="16"/>
      <w:szCs w:val="16"/>
    </w:rPr>
  </w:style>
  <w:style w:type="paragraph" w:styleId="CommentText">
    <w:name w:val="annotation text"/>
    <w:basedOn w:val="Normal"/>
    <w:link w:val="CommentTextChar"/>
    <w:rsid w:val="007C747B"/>
    <w:rPr>
      <w:sz w:val="20"/>
    </w:rPr>
  </w:style>
  <w:style w:type="character" w:customStyle="1" w:styleId="CommentTextChar">
    <w:name w:val="Comment Text Char"/>
    <w:link w:val="CommentText"/>
    <w:rsid w:val="007C747B"/>
    <w:rPr>
      <w:rFonts w:ascii="Arial" w:hAnsi="Arial"/>
      <w:lang w:eastAsia="en-US"/>
    </w:rPr>
  </w:style>
  <w:style w:type="paragraph" w:styleId="CommentSubject">
    <w:name w:val="annotation subject"/>
    <w:basedOn w:val="CommentText"/>
    <w:next w:val="CommentText"/>
    <w:link w:val="CommentSubjectChar"/>
    <w:rsid w:val="007C747B"/>
    <w:rPr>
      <w:b/>
      <w:bCs/>
    </w:rPr>
  </w:style>
  <w:style w:type="character" w:customStyle="1" w:styleId="CommentSubjectChar">
    <w:name w:val="Comment Subject Char"/>
    <w:link w:val="CommentSubject"/>
    <w:rsid w:val="007C747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383360966">
      <w:bodyDiv w:val="1"/>
      <w:marLeft w:val="0"/>
      <w:marRight w:val="0"/>
      <w:marTop w:val="0"/>
      <w:marBottom w:val="0"/>
      <w:divBdr>
        <w:top w:val="none" w:sz="0" w:space="0" w:color="auto"/>
        <w:left w:val="none" w:sz="0" w:space="0" w:color="auto"/>
        <w:bottom w:val="none" w:sz="0" w:space="0" w:color="auto"/>
        <w:right w:val="none" w:sz="0" w:space="0" w:color="auto"/>
      </w:divBdr>
    </w:div>
    <w:div w:id="19331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harrow.gov.uk/info/200149/council_documents_meetings_and_reports/1789/harrows_ambition_plan/2"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HarrowProtectiveMarking xmlns="e48e9339-ef40-4192-ab59-a15ba5582753">OFFICIAL</HarrowProtectiveMarking>
    <HarrowDescription xmlns="e48e9339-ef40-4192-ab59-a15ba5582753" xsi:nil="true"/>
    <Calendar_x0020_Date xmlns="e48e9339-ef40-4192-ab59-a15ba5582753">2019-09-11T23:00:00+00:00</Calendar_x0020_Date>
    <Meeting_x0020_Type xmlns="db1a1c10-2bdd-4e29-a29a-7d3ad5253a84">Cabinet</Meeting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b11bda97-64e7-4000-91fd-dcaad77bf85d" ContentTypeId="0x0101000226E4B75CFA47B488D2CEFE4DCFDD6404" PreviousValue="true"/>
</file>

<file path=customXml/item5.xml><?xml version="1.0" encoding="utf-8"?>
<ct:contentTypeSchema xmlns:ct="http://schemas.microsoft.com/office/2006/metadata/contentType" xmlns:ma="http://schemas.microsoft.com/office/2006/metadata/properties/metaAttributes" ct:_="" ma:_="" ma:contentTypeName="Meeting Document" ma:contentTypeID="0x0101000226E4B75CFA47B488D2CEFE4DCFDD640400FE1657BA39E30748865379F79DA1C039" ma:contentTypeVersion="6" ma:contentTypeDescription="A document associated with a meeting or standing group." ma:contentTypeScope="" ma:versionID="8669aa8327cdf90901dd4724f51ed240">
  <xsd:schema xmlns:xsd="http://www.w3.org/2001/XMLSchema" xmlns:xs="http://www.w3.org/2001/XMLSchema" xmlns:p="http://schemas.microsoft.com/office/2006/metadata/properties" xmlns:ns2="e48e9339-ef40-4192-ab59-a15ba5582753" xmlns:ns3="db1a1c10-2bdd-4e29-a29a-7d3ad5253a84" targetNamespace="http://schemas.microsoft.com/office/2006/metadata/properties" ma:root="true" ma:fieldsID="a7dad30c4eb3db0f798b550cd7cec9ca" ns2:_="" ns3:_="">
    <xsd:import namespace="e48e9339-ef40-4192-ab59-a15ba5582753"/>
    <xsd:import namespace="db1a1c10-2bdd-4e29-a29a-7d3ad5253a84"/>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Meeting_x0020_Type"/>
                <xsd:element ref="ns2:Calendar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dfe3e7d-d3d7-4a16-9b3c-874f6c7dfbb2}" ma:internalName="TaxCatchAll" ma:showField="CatchAllData" ma:web="db1a1c10-2bdd-4e29-a29a-7d3ad5253a8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dfe3e7d-d3d7-4a16-9b3c-874f6c7dfbb2}" ma:internalName="TaxCatchAllLabel" ma:readOnly="true" ma:showField="CatchAllDataLabel" ma:web="db1a1c10-2bdd-4e29-a29a-7d3ad5253a84">
      <xsd:complexType>
        <xsd:complexContent>
          <xsd:extension base="dms:MultiChoiceLookup">
            <xsd:sequence>
              <xsd:element name="Value" type="dms:Lookup" maxOccurs="unbounded" minOccurs="0" nillable="true"/>
            </xsd:sequence>
          </xsd:extension>
        </xsd:complexContent>
      </xsd:complexType>
    </xsd:element>
    <xsd:element name="Calendar_x0020_Date" ma:index="15" ma:displayName="Calendar Date" ma:format="DateOnly" ma:indexed="true" ma:internalName="Calendar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1a1c10-2bdd-4e29-a29a-7d3ad5253a84" elementFormDefault="qualified">
    <xsd:import namespace="http://schemas.microsoft.com/office/2006/documentManagement/types"/>
    <xsd:import namespace="http://schemas.microsoft.com/office/infopath/2007/PartnerControls"/>
    <xsd:element name="Meeting_x0020_Type" ma:index="14" ma:displayName="Meeting Type" ma:format="Dropdown" ma:internalName="Meeting_x0020_Type">
      <xsd:simpleType>
        <xsd:restriction base="dms:Choice">
          <xsd:enumeration value="Cabinet"/>
          <xsd:enumeration value="Cabinet Briefing"/>
          <xsd:enumeration value="CSB"/>
          <xsd:enumeration value="Improvement Board"/>
          <xsd:enumeration value="P&amp;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B39E-4BD6-4D34-B83E-79D5CD4DA147}">
  <ds:schemaRefs>
    <ds:schemaRef ds:uri="http://purl.org/dc/terms/"/>
    <ds:schemaRef ds:uri="http://purl.org/dc/elements/1.1/"/>
    <ds:schemaRef ds:uri="http://schemas.microsoft.com/office/2006/metadata/properties"/>
    <ds:schemaRef ds:uri="http://schemas.microsoft.com/office/2006/documentManagement/types"/>
    <ds:schemaRef ds:uri="e48e9339-ef40-4192-ab59-a15ba5582753"/>
    <ds:schemaRef ds:uri="http://schemas.microsoft.com/office/infopath/2007/PartnerControls"/>
    <ds:schemaRef ds:uri="http://purl.org/dc/dcmitype/"/>
    <ds:schemaRef ds:uri="db1a1c10-2bdd-4e29-a29a-7d3ad5253a84"/>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3.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4.xml><?xml version="1.0" encoding="utf-8"?>
<ds:datastoreItem xmlns:ds="http://schemas.openxmlformats.org/officeDocument/2006/customXml" ds:itemID="{4F3E4B4B-A775-4114-8132-3CB7A4907D91}">
  <ds:schemaRefs>
    <ds:schemaRef ds:uri="Microsoft.SharePoint.Taxonomy.ContentTypeSync"/>
  </ds:schemaRefs>
</ds:datastoreItem>
</file>

<file path=customXml/itemProps5.xml><?xml version="1.0" encoding="utf-8"?>
<ds:datastoreItem xmlns:ds="http://schemas.openxmlformats.org/officeDocument/2006/customXml" ds:itemID="{865BF9EB-D33B-48C2-9DE5-29A53DE9A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db1a1c10-2bdd-4e29-a29a-7d3ad5253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DA198C6-C7D1-432D-AAFD-E29185D0A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1074</Words>
  <Characters>6125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Harrow Council</Company>
  <LinksUpToDate>false</LinksUpToDate>
  <CharactersWithSpaces>7185</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DGhelani;MRandall</dc:creator>
  <cp:lastModifiedBy>Bob Wearing</cp:lastModifiedBy>
  <cp:revision>2</cp:revision>
  <cp:lastPrinted>2019-08-19T11:13:00Z</cp:lastPrinted>
  <dcterms:created xsi:type="dcterms:W3CDTF">2019-09-04T07:34:00Z</dcterms:created>
  <dcterms:modified xsi:type="dcterms:W3CDTF">2019-09-04T07:34:00Z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0x0101000226E4B75CFA47B488D2CEFE4DCFDD640400FE1657BA39E30748865379F79DA1C039</vt:lpwstr>
  </property>
  <property fmtid="{D5CDD505-2E9C-101B-9397-08002B2CF9AE}" pid="3" name="TaxKeyword">
    <vt:lpwstr/>
  </property>
</Properties>
</file>